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EC" w:rsidRPr="003A3A5B" w:rsidRDefault="002A74EC" w:rsidP="002A74EC">
      <w:pPr>
        <w:pStyle w:val="Part"/>
        <w:pageBreakBefore/>
        <w:jc w:val="left"/>
        <w:rPr>
          <w:rStyle w:val="Ref"/>
        </w:rPr>
      </w:pPr>
      <w:r>
        <w:t xml:space="preserve">                                   </w:t>
      </w:r>
      <w:r w:rsidR="00562BEE" w:rsidRPr="00410FC9">
        <w:rPr>
          <w:lang w:val="cy-GB"/>
        </w:rPr>
        <w:t>FFURFLEN RHW23</w:t>
      </w:r>
      <w:r w:rsidRPr="003A3A5B">
        <w:tab/>
      </w:r>
    </w:p>
    <w:p w:rsidR="002A74EC" w:rsidRPr="003A3A5B" w:rsidRDefault="002A74EC" w:rsidP="002A74EC">
      <w:pPr>
        <w:pStyle w:val="linespace"/>
        <w:rPr>
          <w:rStyle w:val="Ref"/>
        </w:rPr>
      </w:pPr>
    </w:p>
    <w:tbl>
      <w:tblPr>
        <w:tblW w:w="5026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76"/>
        <w:gridCol w:w="10"/>
        <w:gridCol w:w="577"/>
        <w:gridCol w:w="3127"/>
        <w:gridCol w:w="73"/>
        <w:gridCol w:w="169"/>
        <w:gridCol w:w="4299"/>
        <w:gridCol w:w="142"/>
      </w:tblGrid>
      <w:tr w:rsidR="00562BEE" w:rsidRPr="00410FC9" w:rsidTr="004D2BFA">
        <w:trPr>
          <w:trHeight w:val="576"/>
        </w:trPr>
        <w:tc>
          <w:tcPr>
            <w:tcW w:w="4997" w:type="pct"/>
            <w:gridSpan w:val="8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jc w:val="center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HYSBYSIAD CYN GWNEUD HAWLIAD MEDDIANT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trHeight w:val="416"/>
        </w:trPr>
        <w:tc>
          <w:tcPr>
            <w:tcW w:w="4997" w:type="pct"/>
            <w:gridSpan w:val="8"/>
          </w:tcPr>
          <w:p w:rsidR="00562BEE" w:rsidRPr="00410FC9" w:rsidRDefault="00562BEE" w:rsidP="004D2BFA">
            <w:pPr>
              <w:spacing w:line="220" w:lineRule="atLeast"/>
              <w:jc w:val="center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o dan adran 159(1), 161(1), 166(1), 171(1) neu 192(1) o Ddeddf Rhentu Cartrefi (Cymru) 2016 fod y landlord yn bwriadu gwneud hawliad meddiant i’r llys.</w:t>
            </w:r>
          </w:p>
        </w:tc>
      </w:tr>
      <w:tr w:rsidR="00562BEE" w:rsidRPr="00410FC9" w:rsidTr="004D2BFA">
        <w:trPr>
          <w:trHeight w:val="80"/>
        </w:trPr>
        <w:tc>
          <w:tcPr>
            <w:tcW w:w="4997" w:type="pct"/>
            <w:gridSpan w:val="8"/>
            <w:shd w:val="clear" w:color="auto" w:fill="auto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trHeight w:val="237"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562BEE" w:rsidRPr="00410FC9" w:rsidTr="004D2BFA">
        <w:trPr>
          <w:trHeight w:val="1297"/>
        </w:trPr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</w:t>
            </w:r>
            <w:r>
              <w:rPr>
                <w:sz w:val="21"/>
                <w:szCs w:val="20"/>
                <w:lang w:val="cy-GB" w:eastAsia="en-US"/>
              </w:rPr>
              <w:t>(</w:t>
            </w:r>
            <w:proofErr w:type="spellStart"/>
            <w:r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>
              <w:rPr>
                <w:sz w:val="21"/>
                <w:szCs w:val="20"/>
                <w:lang w:val="cy-GB" w:eastAsia="en-US"/>
              </w:rPr>
              <w:t>)</w:t>
            </w:r>
            <w:r w:rsidRPr="00410FC9">
              <w:rPr>
                <w:sz w:val="21"/>
                <w:szCs w:val="20"/>
                <w:lang w:val="cy-GB" w:eastAsia="en-US"/>
              </w:rPr>
              <w:t>:</w:t>
            </w:r>
          </w:p>
        </w:tc>
      </w:tr>
      <w:tr w:rsidR="00562BEE" w:rsidRPr="00410FC9" w:rsidTr="004D2BFA">
        <w:trPr>
          <w:trHeight w:val="70"/>
        </w:trPr>
        <w:tc>
          <w:tcPr>
            <w:tcW w:w="4997" w:type="pct"/>
            <w:gridSpan w:val="8"/>
            <w:tcBorders>
              <w:bottom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trHeight w:val="70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562BEE" w:rsidRPr="00410FC9" w:rsidTr="004D2BFA">
        <w:trPr>
          <w:trHeight w:val="362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trHeight w:val="70"/>
        </w:trPr>
        <w:tc>
          <w:tcPr>
            <w:tcW w:w="4997" w:type="pct"/>
            <w:gridSpan w:val="8"/>
            <w:tcBorders>
              <w:bottom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o Hawliad Meddiant</w:t>
            </w:r>
          </w:p>
        </w:tc>
      </w:tr>
      <w:tr w:rsidR="00562BEE" w:rsidRPr="00410FC9" w:rsidTr="004D2BFA"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after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rhoi hysbysiad i chi, ddeiliad neu ddeiliaid contract yr annedd uchod fod y landlord yn bwriadu gwneud hawliad meddiant i’r llys ar y sail a ganlyn o Ddeddf Rhentu Cartrefi (Cymru) 2016:</w:t>
            </w:r>
          </w:p>
        </w:tc>
      </w:tr>
      <w:tr w:rsidR="00562BEE" w:rsidRPr="00410FC9" w:rsidTr="004D2BFA"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b/>
                <w:sz w:val="21"/>
                <w:szCs w:val="20"/>
                <w:lang w:eastAsia="en-US"/>
              </w:rPr>
            </w:pPr>
            <w:r w:rsidRPr="00410FC9">
              <w:rPr>
                <w:b/>
                <w:sz w:val="21"/>
                <w:szCs w:val="20"/>
                <w:lang w:val="cy-GB" w:eastAsia="en-US"/>
              </w:rPr>
              <w:t>Tor contract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(adran 157)</w:t>
            </w:r>
          </w:p>
          <w:p w:rsidR="00562BEE" w:rsidRPr="00410FC9" w:rsidRDefault="00562BEE" w:rsidP="004D2BFA">
            <w:pPr>
              <w:spacing w:before="40" w:line="220" w:lineRule="atLeast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Nodwch yn glir fanylion y toriad, gan gynnwys pa un a ddibynnir ar adran 55 (ymddygiad gwrthgymdeithasol ac ymddygiad gwaharddedig arall).</w:t>
            </w:r>
          </w:p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trHeight w:val="459"/>
        </w:trPr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618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after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b/>
                <w:sz w:val="21"/>
                <w:szCs w:val="20"/>
                <w:lang w:val="cy-GB" w:eastAsia="en-US"/>
              </w:rPr>
              <w:t xml:space="preserve">Seiliau rheoli </w:t>
            </w:r>
            <w:proofErr w:type="spellStart"/>
            <w:r w:rsidRPr="00410FC9">
              <w:rPr>
                <w:b/>
                <w:sz w:val="21"/>
                <w:szCs w:val="20"/>
                <w:lang w:val="cy-GB" w:eastAsia="en-US"/>
              </w:rPr>
              <w:t>ystad</w:t>
            </w:r>
            <w:proofErr w:type="spellEnd"/>
            <w:r w:rsidRPr="00410FC9">
              <w:rPr>
                <w:b/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1"/>
                <w:szCs w:val="20"/>
                <w:lang w:val="cy-GB" w:eastAsia="en-US"/>
              </w:rPr>
              <w:t>(adran 160 ac Atodlen 8)</w:t>
            </w:r>
          </w:p>
          <w:p w:rsidR="00562BEE" w:rsidRPr="00410FC9" w:rsidRDefault="00562BEE" w:rsidP="004D2BFA">
            <w:pPr>
              <w:spacing w:after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Ticiwch fel y bo’n gymwys i ddangos y paragraff o Atodlen 8 y dibynnir arno.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A (gwaith adeiladu)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B (cynlluniau ailddatblygu)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C (elusennau)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D (annedd sy’n addas i bobl anabl)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E (cymdeithasau tai ac ymddiriedolaethau tai: pobl y mae’n anodd eu cartrefu)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F (grwpiau o anheddau ar gyfer pobl sydd ag anghenion arbennig)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G (olynwyr wrth gefn)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Sail H (cyd-ddeiliaid contract)</w:t>
            </w:r>
          </w:p>
        </w:tc>
      </w:tr>
      <w:tr w:rsidR="00562BEE" w:rsidRPr="00410FC9" w:rsidTr="004D2BFA">
        <w:trPr>
          <w:trHeight w:val="111"/>
        </w:trPr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4"/>
                <w:sz w:val="32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301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Sail I (rhesymau rheoli 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ystad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 eraill) </w:t>
            </w:r>
          </w:p>
          <w:p w:rsidR="00562BEE" w:rsidRDefault="00562BEE" w:rsidP="004D2BFA">
            <w:pPr>
              <w:spacing w:before="40" w:after="40" w:line="220" w:lineRule="atLeast"/>
              <w:rPr>
                <w:i/>
                <w:iCs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Nodwch y rhesymau drosodd.</w:t>
            </w:r>
          </w:p>
          <w:p w:rsidR="00562BEE" w:rsidRPr="00410FC9" w:rsidRDefault="00562BEE" w:rsidP="004D2BFA">
            <w:pPr>
              <w:spacing w:before="40" w:after="40" w:line="220" w:lineRule="atLeast"/>
              <w:rPr>
                <w:i/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gridAfter w:val="1"/>
          <w:wAfter w:w="78" w:type="pct"/>
          <w:trHeight w:val="111"/>
        </w:trPr>
        <w:tc>
          <w:tcPr>
            <w:tcW w:w="49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after="160" w:line="259" w:lineRule="auto"/>
              <w:ind w:left="720"/>
              <w:rPr>
                <w:b/>
                <w:i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lastRenderedPageBreak/>
              <w:t>Rhan D: Hysbysiad o Hawliad Meddiant (parhad)</w:t>
            </w:r>
          </w:p>
        </w:tc>
      </w:tr>
      <w:tr w:rsidR="00562BEE" w:rsidRPr="00410FC9" w:rsidTr="004D2BFA">
        <w:trPr>
          <w:gridAfter w:val="1"/>
          <w:wAfter w:w="78" w:type="pct"/>
          <w:trHeight w:val="111"/>
        </w:trPr>
        <w:tc>
          <w:tcPr>
            <w:tcW w:w="49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Os dibynnir ar Sail I (rhesymau rheoli </w:t>
            </w:r>
            <w:proofErr w:type="spellStart"/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ystad</w:t>
            </w:r>
            <w:proofErr w:type="spellEnd"/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 eraill), nodwch y rhesymau’n glir, e.e. gorlenwi o dan Ran 10 o Ddeddf Tai 1985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  <w:p w:rsidR="00562BEE" w:rsidRPr="00410FC9" w:rsidRDefault="00562BEE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i/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gridAfter w:val="1"/>
          <w:wAfter w:w="78" w:type="pct"/>
          <w:trHeight w:val="1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rFonts w:ascii="Wingdings 2" w:hAnsi="Wingdings 2"/>
                <w:position w:val="-6"/>
                <w:sz w:val="40"/>
                <w:szCs w:val="20"/>
                <w:lang w:val="cy-GB" w:eastAsia="en-US"/>
              </w:rPr>
              <w:sym w:font="Wingdings 2" w:char="F0A3"/>
            </w:r>
            <w:r w:rsidRPr="00410FC9">
              <w:rPr>
                <w:sz w:val="21"/>
                <w:szCs w:val="20"/>
                <w:lang w:eastAsia="en-US"/>
              </w:rPr>
              <w:t> 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b/>
                <w:bCs/>
                <w:sz w:val="21"/>
                <w:szCs w:val="20"/>
                <w:lang w:val="cy-GB" w:eastAsia="en-US"/>
              </w:rPr>
              <w:t>Methiant deiliad y contract i ildio meddiant o’r annedd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yn dilyn deiliad y contract yn darparu hysbysiad i derfynu’r contract (adran 165, 170 neu 191)</w:t>
            </w:r>
          </w:p>
        </w:tc>
      </w:tr>
      <w:tr w:rsidR="00562BEE" w:rsidRPr="00410FC9" w:rsidTr="004D2BFA">
        <w:trPr>
          <w:gridAfter w:val="1"/>
          <w:wAfter w:w="78" w:type="pct"/>
        </w:trPr>
        <w:tc>
          <w:tcPr>
            <w:tcW w:w="492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gridAfter w:val="1"/>
          <w:wAfter w:w="78" w:type="pct"/>
        </w:trPr>
        <w:tc>
          <w:tcPr>
            <w:tcW w:w="49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562BEE" w:rsidRPr="00410FC9" w:rsidTr="004D2BFA">
        <w:trPr>
          <w:gridAfter w:val="1"/>
          <w:wAfter w:w="78" w:type="pct"/>
        </w:trPr>
        <w:tc>
          <w:tcPr>
            <w:tcW w:w="2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E" w:rsidRPr="00410FC9" w:rsidRDefault="00562BEE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562BEE" w:rsidRPr="00410FC9" w:rsidRDefault="00562BEE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gridAfter w:val="1"/>
          <w:wAfter w:w="78" w:type="pct"/>
        </w:trPr>
        <w:tc>
          <w:tcPr>
            <w:tcW w:w="4922" w:type="pct"/>
            <w:gridSpan w:val="7"/>
          </w:tcPr>
          <w:p w:rsidR="00562BEE" w:rsidRDefault="00562BEE" w:rsidP="004D2BFA">
            <w:pPr>
              <w:spacing w:before="120" w:after="120" w:line="220" w:lineRule="atLeast"/>
              <w:rPr>
                <w:b/>
                <w:bCs/>
                <w:sz w:val="20"/>
                <w:szCs w:val="20"/>
                <w:lang w:val="cy-GB" w:eastAsia="en-US"/>
              </w:rPr>
            </w:pPr>
          </w:p>
          <w:p w:rsidR="00562BEE" w:rsidRPr="00410FC9" w:rsidRDefault="00562BEE" w:rsidP="004D2BFA">
            <w:pPr>
              <w:spacing w:before="12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Canllawiau i ddeiliaid contract</w:t>
            </w:r>
          </w:p>
          <w:p w:rsidR="00562BEE" w:rsidRPr="00410FC9" w:rsidRDefault="00562BEE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Mae’r hysbysiad hwn yn dweud wrthych fod eich landlord yn bwriadu dechrau achos i adennill meddiant o’r annedd a nodir yn Rhan C. Dylech ddarllen yr hysbysiad yn ofalus a gofyn am gyngor ynghylch eich amgylchiadau cyn gynted â phosibl.</w:t>
            </w:r>
          </w:p>
          <w:p w:rsidR="00562BEE" w:rsidRPr="00410FC9" w:rsidRDefault="00562BEE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Bydd y dyddiad cynharaf y gall achos adennill meddiant ddechrau arno yn dibynnu ar ba sail neu seiliau y ceisir adennill meddiant, sef y seiliau a restrir yn Rhan D. Darperir esboniadau o’r cyfyngiadau sy’n gymwys i seiliau penodol isod.</w:t>
            </w:r>
          </w:p>
          <w:p w:rsidR="00562BEE" w:rsidRPr="00410FC9" w:rsidRDefault="00562BEE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  <w:p w:rsidR="00562BEE" w:rsidRPr="00410FC9" w:rsidRDefault="00562BEE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</w:tc>
      </w:tr>
      <w:tr w:rsidR="00562BEE" w:rsidRPr="00410FC9" w:rsidTr="004D2BFA">
        <w:trPr>
          <w:gridAfter w:val="1"/>
          <w:wAfter w:w="78" w:type="pct"/>
        </w:trPr>
        <w:tc>
          <w:tcPr>
            <w:tcW w:w="4922" w:type="pct"/>
            <w:gridSpan w:val="7"/>
          </w:tcPr>
          <w:p w:rsidR="00562BEE" w:rsidRPr="00410FC9" w:rsidRDefault="00562BEE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achosion yn dilyn yr hysbysiad hwn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Cyfyngiad sy’n gymwys i’r sail tor contract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Caiff y landlord wneud hawliad meddiant gan ddibynnu ar dorri adran 55 (ymddygiad gwrthgymdeithasol ac ymddygiad gwaharddedig arall)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ar neu ar ôl y diwrnod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y mae’r landlord yn rhoi hysbysiad adennill meddiant i ddeiliad y contract sy’n nodi bod yr adran honno wedi ei thorri.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Ni chaiff y landlord wneud hawliad meddiant gan ddibynnu ar dorri unrhyw deler arall o’r contract meddiannaeth cyn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un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y mae’r landlord yn rhoi hysbysiad adennill meddiant i ddeiliad y contract sy’n nodi bod y teler hwnnw wedi ei dorri. 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y naill achos a’r llall, ni chaiff y landlord wneud hawliad meddiant ar ôl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chwe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y mae’r landlord yn rhoi’r hysbysiad adennill meddiant i ddeiliad y contract.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Cyfyngiad sy’n gymwys i’r sail rheoli </w:t>
            </w:r>
            <w:proofErr w:type="spellStart"/>
            <w:r w:rsidRPr="00410FC9">
              <w:rPr>
                <w:sz w:val="20"/>
                <w:szCs w:val="20"/>
                <w:u w:val="single"/>
                <w:lang w:val="cy-GB" w:eastAsia="en-US"/>
              </w:rPr>
              <w:t>ystad</w:t>
            </w:r>
            <w:proofErr w:type="spellEnd"/>
            <w:r w:rsidRPr="00410FC9">
              <w:rPr>
                <w:sz w:val="20"/>
                <w:szCs w:val="20"/>
                <w:lang w:val="cy-GB" w:eastAsia="en-US"/>
              </w:rPr>
              <w:t xml:space="preserve"> 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Ni chaiff y landlord wneud hawliad meddiant cyn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un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y mae’r landlord yn rhoi’r hysbysiad adennill meddiant i ddeiliad y contract, neu ar ôl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chwe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y mae’r landlord yn rhoi’r hysbysiad adennill meddiant i ddeiliad y contract.</w:t>
            </w:r>
            <w:r>
              <w:t xml:space="preserve"> </w:t>
            </w:r>
          </w:p>
        </w:tc>
      </w:tr>
    </w:tbl>
    <w:p w:rsidR="00562BEE" w:rsidRPr="00EF23E6" w:rsidRDefault="00562BEE" w:rsidP="00562BEE">
      <w:pPr>
        <w:pStyle w:val="linespace"/>
      </w:pPr>
    </w:p>
    <w:tbl>
      <w:tblPr>
        <w:tblpPr w:leftFromText="180" w:rightFromText="180" w:vertAnchor="text" w:horzAnchor="margin" w:tblpY="-969"/>
        <w:tblW w:w="4940" w:type="pct"/>
        <w:tblLayout w:type="fixed"/>
        <w:tblLook w:val="0000" w:firstRow="0" w:lastRow="0" w:firstColumn="0" w:lastColumn="0" w:noHBand="0" w:noVBand="0"/>
      </w:tblPr>
      <w:tblGrid>
        <w:gridCol w:w="8918"/>
      </w:tblGrid>
      <w:tr w:rsidR="00562BEE" w:rsidRPr="00410FC9" w:rsidTr="004D2BFA">
        <w:tc>
          <w:tcPr>
            <w:tcW w:w="5000" w:type="pct"/>
          </w:tcPr>
          <w:p w:rsidR="00562BEE" w:rsidRDefault="00562BEE" w:rsidP="004D2BFA">
            <w:pPr>
              <w:spacing w:line="220" w:lineRule="atLeast"/>
              <w:jc w:val="both"/>
              <w:rPr>
                <w:sz w:val="20"/>
                <w:szCs w:val="20"/>
                <w:u w:val="single"/>
                <w:lang w:val="cy-GB" w:eastAsia="en-US"/>
              </w:rPr>
            </w:pPr>
          </w:p>
          <w:p w:rsidR="00562BEE" w:rsidRPr="000A3064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val="cy-GB" w:eastAsia="en-US"/>
              </w:rPr>
            </w:pPr>
            <w:r w:rsidRPr="000A3064">
              <w:rPr>
                <w:sz w:val="20"/>
                <w:szCs w:val="20"/>
                <w:lang w:val="cy-GB" w:eastAsia="en-US"/>
              </w:rPr>
              <w:t xml:space="preserve">Os yw cynllun ailddatblygu yn cael ei gymeradwyo o dan Ran 2 o Atodlen 8 i Ddeddf Rhentu Cartrefi (Cymru) 2016 ac yn ddarostyngedig i amodau, caiff y landlord roi hysbysiad adennill meddiant i ddeiliad y contract sy’n pennu Sail B o’r seiliau rheoli </w:t>
            </w:r>
            <w:proofErr w:type="spellStart"/>
            <w:r w:rsidRPr="000A3064">
              <w:rPr>
                <w:sz w:val="20"/>
                <w:szCs w:val="20"/>
                <w:lang w:val="cy-GB" w:eastAsia="en-US"/>
              </w:rPr>
              <w:t>ystad</w:t>
            </w:r>
            <w:proofErr w:type="spellEnd"/>
            <w:r w:rsidRPr="000A3064">
              <w:rPr>
                <w:sz w:val="20"/>
                <w:szCs w:val="20"/>
                <w:lang w:val="cy-GB" w:eastAsia="en-US"/>
              </w:rPr>
              <w:t xml:space="preserve"> cyn bod yr amodau wedi eu bodloni.</w:t>
            </w:r>
          </w:p>
          <w:p w:rsidR="00562BEE" w:rsidRDefault="00562BEE" w:rsidP="004D2BFA">
            <w:pPr>
              <w:spacing w:line="220" w:lineRule="atLeast"/>
              <w:jc w:val="both"/>
              <w:rPr>
                <w:sz w:val="20"/>
                <w:szCs w:val="20"/>
                <w:u w:val="single"/>
                <w:lang w:val="cy-GB"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Cyfyngiad sy’n gymwys i’r sail rheoli </w:t>
            </w:r>
            <w:proofErr w:type="spellStart"/>
            <w:r w:rsidRPr="00410FC9">
              <w:rPr>
                <w:sz w:val="20"/>
                <w:szCs w:val="20"/>
                <w:u w:val="single"/>
                <w:lang w:val="cy-GB" w:eastAsia="en-US"/>
              </w:rPr>
              <w:t>ystad</w:t>
            </w:r>
            <w:proofErr w:type="spellEnd"/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 (parhad)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Ni chaiff y landlord roi hysbysiad adennill meddiant i ddeiliad y contract sy’n pennu Sail G o’r seiliau rheoli </w:t>
            </w:r>
            <w:proofErr w:type="spellStart"/>
            <w:r w:rsidRPr="00410FC9">
              <w:rPr>
                <w:sz w:val="20"/>
                <w:szCs w:val="20"/>
                <w:lang w:val="cy-GB" w:eastAsia="en-US"/>
              </w:rPr>
              <w:t>ystad</w:t>
            </w:r>
            <w:proofErr w:type="spellEnd"/>
            <w:r w:rsidRPr="00410FC9">
              <w:rPr>
                <w:sz w:val="20"/>
                <w:szCs w:val="20"/>
                <w:lang w:val="cy-GB" w:eastAsia="en-US"/>
              </w:rPr>
              <w:t xml:space="preserve"> (dim angen y llety ar olynydd):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after="120" w:line="220" w:lineRule="atLeast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(a) cyn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chwe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y daeth y landlord (neu yn achos cyd-landlordiaid, unrhyw un ohonynt) i wybod am farwolaeth y deiliad contract blaenorol, neu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(b) ar ôl diwedd y cyfnod o </w:t>
            </w:r>
            <w:r>
              <w:rPr>
                <w:b/>
                <w:sz w:val="20"/>
                <w:szCs w:val="20"/>
                <w:lang w:val="cy-GB" w:eastAsia="en-US"/>
              </w:rPr>
              <w:t>12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 xml:space="preserve">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hwnnw.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Ni chaiff y landlord roi i ddeiliad y contract hysbysiad adennill meddiant sy’n pennu Sail H o’r seiliau rheoli </w:t>
            </w:r>
            <w:proofErr w:type="spellStart"/>
            <w:r w:rsidRPr="00410FC9">
              <w:rPr>
                <w:sz w:val="20"/>
                <w:szCs w:val="20"/>
                <w:lang w:val="cy-GB" w:eastAsia="en-US"/>
              </w:rPr>
              <w:t>ystad</w:t>
            </w:r>
            <w:proofErr w:type="spellEnd"/>
            <w:r w:rsidRPr="00410FC9">
              <w:rPr>
                <w:sz w:val="20"/>
                <w:szCs w:val="20"/>
                <w:lang w:val="cy-GB" w:eastAsia="en-US"/>
              </w:rPr>
              <w:t xml:space="preserve"> (cyd-ddeiliad contract yn gadael) ar ôl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chwe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y daeth hawliau a rhwymedigaethau cyd-ddeiliad y contract i ben o dan y contract.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Cyfyngiadau sy’n gymwys i’r sail adennill meddiant a ddarperir gan adrannau 165, 170 ac 191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Caiff y landlord wneud hawliad meddiant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ar neu ar ôl y diwrnod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</w:t>
            </w:r>
            <w:r w:rsidRPr="00410FC9">
              <w:rPr>
                <w:rFonts w:ascii="Calibri" w:eastAsia="Calibri" w:hAnsi="Calibri"/>
                <w:sz w:val="20"/>
                <w:szCs w:val="22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y mae’r landlord yn rhoi hysbysiad adennill meddiant i ddeiliad y contract, ond ni chaiff y landlord wneud hawliad meddiant ar ôl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chwe mis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diwrnod hwnnw.</w:t>
            </w: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</w:p>
          <w:p w:rsidR="00562BEE" w:rsidRPr="00410FC9" w:rsidRDefault="00562BEE" w:rsidP="004D2BFA">
            <w:pPr>
              <w:spacing w:line="220" w:lineRule="atLeast"/>
              <w:jc w:val="both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Ni chaiff y landlord roi i ddeiliad y contract hysbysiad adennill meddiant sy’n pennu’r sail yn adran 165, 171 neu 191 (fel y bo’n gymwys) ar ôl diwedd y cyfnod o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ddau fis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sy’n dechrau â’r dyddiad a bennir yn unrhyw hysbysiad a roddir o dan adran 163 neu 168 </w:t>
            </w:r>
            <w:r>
              <w:rPr>
                <w:sz w:val="20"/>
                <w:szCs w:val="20"/>
                <w:lang w:val="cy-GB" w:eastAsia="en-US"/>
              </w:rPr>
              <w:t xml:space="preserve">neu </w:t>
            </w:r>
            <w:r w:rsidRPr="00410FC9">
              <w:rPr>
                <w:sz w:val="20"/>
                <w:szCs w:val="20"/>
                <w:lang w:val="cy-GB" w:eastAsia="en-US"/>
              </w:rPr>
              <w:t>o gymal terfynu deiliad y contract (fel y bo’n gymwys) fel y dyddiad y byddai deiliad y contract yn ildio meddiant o’r annedd.</w:t>
            </w:r>
          </w:p>
        </w:tc>
      </w:tr>
    </w:tbl>
    <w:p w:rsidR="00B45BBE" w:rsidRDefault="00B45BBE" w:rsidP="00B45BBE">
      <w:pPr>
        <w:pStyle w:val="linespace"/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9062"/>
      </w:tblGrid>
      <w:tr w:rsidR="00B45BBE" w:rsidRPr="003A3A5B" w:rsidTr="002F5ECE">
        <w:tc>
          <w:tcPr>
            <w:tcW w:w="5000" w:type="pct"/>
          </w:tcPr>
          <w:p w:rsidR="00B45BBE" w:rsidRPr="003A3A5B" w:rsidRDefault="00B45BBE" w:rsidP="00562BEE">
            <w:pPr>
              <w:pStyle w:val="FormText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B45BBE" w:rsidRPr="003A3A5B" w:rsidRDefault="00B45BBE" w:rsidP="002A74EC">
      <w:pPr>
        <w:pStyle w:val="linespace"/>
      </w:pPr>
    </w:p>
    <w:p w:rsidR="00AB10B4" w:rsidRPr="00404DAC" w:rsidRDefault="00562BEE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7A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CB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4A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C3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AA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4F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61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2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04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4EFD"/>
    <w:multiLevelType w:val="hybridMultilevel"/>
    <w:tmpl w:val="140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56AB2"/>
    <w:multiLevelType w:val="multilevel"/>
    <w:tmpl w:val="E8A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854"/>
    <w:multiLevelType w:val="multilevel"/>
    <w:tmpl w:val="F0D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44A75"/>
    <w:multiLevelType w:val="hybridMultilevel"/>
    <w:tmpl w:val="7BD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5" w15:restartNumberingAfterBreak="0">
    <w:nsid w:val="2DAE1A4C"/>
    <w:multiLevelType w:val="hybridMultilevel"/>
    <w:tmpl w:val="37C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E18"/>
    <w:multiLevelType w:val="multilevel"/>
    <w:tmpl w:val="470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25FAE"/>
    <w:multiLevelType w:val="multilevel"/>
    <w:tmpl w:val="C76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61248"/>
    <w:multiLevelType w:val="hybridMultilevel"/>
    <w:tmpl w:val="074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E6D2E33"/>
    <w:multiLevelType w:val="hybridMultilevel"/>
    <w:tmpl w:val="CCB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06D"/>
    <w:multiLevelType w:val="hybridMultilevel"/>
    <w:tmpl w:val="F02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352"/>
    <w:multiLevelType w:val="hybridMultilevel"/>
    <w:tmpl w:val="3546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462"/>
    <w:multiLevelType w:val="hybridMultilevel"/>
    <w:tmpl w:val="EA8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52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 w15:restartNumberingAfterBreak="0">
    <w:nsid w:val="71B86673"/>
    <w:multiLevelType w:val="hybridMultilevel"/>
    <w:tmpl w:val="B0368C52"/>
    <w:lvl w:ilvl="0" w:tplc="0809000F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11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21"/>
  </w:num>
  <w:num w:numId="14">
    <w:abstractNumId w:val="15"/>
  </w:num>
  <w:num w:numId="15">
    <w:abstractNumId w:val="18"/>
  </w:num>
  <w:num w:numId="16">
    <w:abstractNumId w:val="13"/>
  </w:num>
  <w:num w:numId="17">
    <w:abstractNumId w:val="10"/>
  </w:num>
  <w:num w:numId="18">
    <w:abstractNumId w:val="2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EC"/>
    <w:rsid w:val="00233D41"/>
    <w:rsid w:val="002A74EC"/>
    <w:rsid w:val="00404DAC"/>
    <w:rsid w:val="00562BEE"/>
    <w:rsid w:val="009C56C7"/>
    <w:rsid w:val="00B45BBE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A3E9"/>
  <w15:chartTrackingRefBased/>
  <w15:docId w15:val="{AF744B37-765C-42F2-8A00-74EE6D2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A7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74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74EC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A74EC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2A74EC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2A74EC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2A74EC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2A74EC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2A74EC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2A74EC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2A74EC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2A74EC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2A74EC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2A74EC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2A74EC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2A74EC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semiHidden/>
    <w:rsid w:val="002A7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74EC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A74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74E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4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2A74EC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2A74EC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2A74EC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2A74EC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2A74EC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2A74E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2A74EC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2A74EC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2A74EC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2A74EC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A74EC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2A74EC"/>
    <w:pPr>
      <w:ind w:firstLine="0"/>
    </w:pPr>
  </w:style>
  <w:style w:type="character" w:styleId="FootnoteReference">
    <w:name w:val="footnote reference"/>
    <w:semiHidden/>
    <w:rsid w:val="002A74EC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2A74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2A74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2A74E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2A74EC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2A74EC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2A74EC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2A74EC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2A74EC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2A74EC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2A74EC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2A74EC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2A74EC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2A74EC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2A74EC"/>
  </w:style>
  <w:style w:type="paragraph" w:customStyle="1" w:styleId="LaidDraft">
    <w:name w:val="LaidDraft"/>
    <w:basedOn w:val="Approval"/>
    <w:next w:val="linespace"/>
    <w:rsid w:val="002A74EC"/>
  </w:style>
  <w:style w:type="paragraph" w:customStyle="1" w:styleId="LegSeal">
    <w:name w:val="LegSeal"/>
    <w:next w:val="linespace"/>
    <w:rsid w:val="002A74E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2A74EC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2A74EC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2A74EC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2A74EC"/>
    <w:pPr>
      <w:ind w:firstLine="0"/>
    </w:pPr>
  </w:style>
  <w:style w:type="paragraph" w:customStyle="1" w:styleId="LQT1">
    <w:name w:val="LQT1"/>
    <w:basedOn w:val="Normal"/>
    <w:rsid w:val="002A74EC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2A74EC"/>
    <w:pPr>
      <w:spacing w:before="80"/>
    </w:pPr>
  </w:style>
  <w:style w:type="paragraph" w:customStyle="1" w:styleId="LQDefPara">
    <w:name w:val="LQ Def Para"/>
    <w:basedOn w:val="LQT2"/>
    <w:rsid w:val="002A74EC"/>
    <w:pPr>
      <w:ind w:left="907"/>
    </w:pPr>
  </w:style>
  <w:style w:type="paragraph" w:customStyle="1" w:styleId="LQArrHead">
    <w:name w:val="LQArrHead"/>
    <w:basedOn w:val="ArrHead"/>
    <w:next w:val="LQTOC1"/>
    <w:rsid w:val="002A74EC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2A74EC"/>
    <w:pPr>
      <w:ind w:left="567"/>
    </w:pPr>
  </w:style>
  <w:style w:type="paragraph" w:styleId="TOC1">
    <w:name w:val="toc 1"/>
    <w:basedOn w:val="Normal"/>
    <w:next w:val="Normal"/>
    <w:autoRedefine/>
    <w:semiHidden/>
    <w:rsid w:val="002A74EC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2A74EC"/>
    <w:pPr>
      <w:ind w:left="567"/>
    </w:pPr>
  </w:style>
  <w:style w:type="paragraph" w:styleId="TOC2">
    <w:name w:val="toc 2"/>
    <w:basedOn w:val="Normal"/>
    <w:next w:val="Normal"/>
    <w:autoRedefine/>
    <w:semiHidden/>
    <w:rsid w:val="002A74EC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2A74EC"/>
    <w:pPr>
      <w:ind w:left="567"/>
    </w:pPr>
  </w:style>
  <w:style w:type="paragraph" w:styleId="TOC3">
    <w:name w:val="toc 3"/>
    <w:basedOn w:val="Normal"/>
    <w:next w:val="Normal"/>
    <w:autoRedefine/>
    <w:semiHidden/>
    <w:rsid w:val="002A74EC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2A74EC"/>
    <w:pPr>
      <w:ind w:left="567"/>
    </w:pPr>
  </w:style>
  <w:style w:type="paragraph" w:styleId="TOC4">
    <w:name w:val="toc 4"/>
    <w:basedOn w:val="Normal"/>
    <w:next w:val="Normal"/>
    <w:autoRedefine/>
    <w:semiHidden/>
    <w:rsid w:val="002A74EC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2A74EC"/>
    <w:pPr>
      <w:ind w:left="567"/>
    </w:pPr>
  </w:style>
  <w:style w:type="paragraph" w:styleId="TOC5">
    <w:name w:val="toc 5"/>
    <w:basedOn w:val="Normal"/>
    <w:next w:val="Normal"/>
    <w:autoRedefine/>
    <w:semiHidden/>
    <w:rsid w:val="002A74EC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2A74EC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2A74EC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2A74EC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2A74EC"/>
    <w:pPr>
      <w:ind w:left="567"/>
    </w:pPr>
  </w:style>
  <w:style w:type="paragraph" w:customStyle="1" w:styleId="LQH1">
    <w:name w:val="LQH1"/>
    <w:basedOn w:val="H1"/>
    <w:next w:val="LQN1"/>
    <w:rsid w:val="002A74EC"/>
    <w:pPr>
      <w:ind w:left="567"/>
    </w:pPr>
  </w:style>
  <w:style w:type="paragraph" w:customStyle="1" w:styleId="LQN1">
    <w:name w:val="LQN1"/>
    <w:basedOn w:val="Normal"/>
    <w:rsid w:val="002A74EC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2A74EC"/>
    <w:pPr>
      <w:ind w:left="737"/>
    </w:pPr>
  </w:style>
  <w:style w:type="paragraph" w:customStyle="1" w:styleId="LQN2">
    <w:name w:val="LQN2"/>
    <w:basedOn w:val="LQN1"/>
    <w:rsid w:val="002A74EC"/>
    <w:pPr>
      <w:spacing w:before="80"/>
    </w:pPr>
  </w:style>
  <w:style w:type="paragraph" w:customStyle="1" w:styleId="LQH3">
    <w:name w:val="LQH3"/>
    <w:basedOn w:val="H3"/>
    <w:next w:val="LQN3"/>
    <w:rsid w:val="002A74EC"/>
    <w:pPr>
      <w:ind w:left="907"/>
    </w:pPr>
  </w:style>
  <w:style w:type="paragraph" w:customStyle="1" w:styleId="LQN3">
    <w:name w:val="LQN3"/>
    <w:basedOn w:val="LQN2"/>
    <w:rsid w:val="002A74EC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2A74EC"/>
    <w:pPr>
      <w:ind w:left="1304"/>
    </w:pPr>
  </w:style>
  <w:style w:type="paragraph" w:customStyle="1" w:styleId="LQList1Cont">
    <w:name w:val="LQList1 Cont"/>
    <w:basedOn w:val="List1Cont"/>
    <w:rsid w:val="002A74EC"/>
    <w:pPr>
      <w:ind w:left="1304"/>
    </w:pPr>
  </w:style>
  <w:style w:type="paragraph" w:customStyle="1" w:styleId="LQN3-N4">
    <w:name w:val="LQN3-N4"/>
    <w:basedOn w:val="LQN3"/>
    <w:next w:val="LQN4"/>
    <w:rsid w:val="002A74EC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2A74EC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2A74EC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2A74EC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2A74EC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2A74EC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2A74EC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2A74EC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2A74EC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2A74EC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2A74EC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2A74EC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2A74EC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2A74EC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2A74EC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2A74EC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2A74EC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2A74EC"/>
    <w:pPr>
      <w:ind w:firstLine="170"/>
    </w:pPr>
  </w:style>
  <w:style w:type="paragraph" w:customStyle="1" w:styleId="LQT3">
    <w:name w:val="LQT3"/>
    <w:basedOn w:val="LQT2"/>
    <w:rsid w:val="002A74EC"/>
    <w:pPr>
      <w:ind w:left="1304"/>
    </w:pPr>
  </w:style>
  <w:style w:type="paragraph" w:customStyle="1" w:styleId="LQT4">
    <w:name w:val="LQT4"/>
    <w:basedOn w:val="LQT3"/>
    <w:rsid w:val="002A74EC"/>
    <w:pPr>
      <w:ind w:left="1701"/>
    </w:pPr>
  </w:style>
  <w:style w:type="paragraph" w:customStyle="1" w:styleId="LQT5">
    <w:name w:val="LQT5"/>
    <w:basedOn w:val="LQT4"/>
    <w:rsid w:val="002A74EC"/>
    <w:pPr>
      <w:ind w:left="2268"/>
    </w:pPr>
  </w:style>
  <w:style w:type="paragraph" w:customStyle="1" w:styleId="LQTableCaption">
    <w:name w:val="LQTableCaption"/>
    <w:basedOn w:val="Normal"/>
    <w:next w:val="LQTableTopText"/>
    <w:rsid w:val="002A74EC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2A74EC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2A74EC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2A74EC"/>
    <w:pPr>
      <w:spacing w:before="120"/>
    </w:pPr>
  </w:style>
  <w:style w:type="paragraph" w:customStyle="1" w:styleId="LQTOC10">
    <w:name w:val="LQTOC 10"/>
    <w:basedOn w:val="Normal"/>
    <w:rsid w:val="002A74EC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2A74EC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2A74EC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2A74EC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2A74EC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2A74EC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2A74EC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2A74EC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2A74EC"/>
    <w:pPr>
      <w:numPr>
        <w:ilvl w:val="3"/>
      </w:numPr>
    </w:pPr>
  </w:style>
  <w:style w:type="paragraph" w:customStyle="1" w:styleId="N4-N5">
    <w:name w:val="N4-N5"/>
    <w:basedOn w:val="N4"/>
    <w:next w:val="N5"/>
    <w:rsid w:val="002A74EC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2A74EC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2A74EC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2A74EC"/>
    <w:pPr>
      <w:ind w:left="1474"/>
    </w:pPr>
  </w:style>
  <w:style w:type="paragraph" w:customStyle="1" w:styleId="NLQDisplayItem">
    <w:name w:val="NLQDisplayItem"/>
    <w:basedOn w:val="LQDisplayItem"/>
    <w:rsid w:val="002A74EC"/>
    <w:pPr>
      <w:ind w:left="1134"/>
    </w:pPr>
  </w:style>
  <w:style w:type="paragraph" w:customStyle="1" w:styleId="NLQH1">
    <w:name w:val="NLQH1"/>
    <w:basedOn w:val="LQH1"/>
    <w:next w:val="NLQN1"/>
    <w:rsid w:val="002A74EC"/>
    <w:pPr>
      <w:ind w:left="1134"/>
    </w:pPr>
  </w:style>
  <w:style w:type="paragraph" w:customStyle="1" w:styleId="NLQN1">
    <w:name w:val="NLQN1"/>
    <w:basedOn w:val="LQN1"/>
    <w:rsid w:val="002A74EC"/>
    <w:pPr>
      <w:ind w:left="1134"/>
    </w:pPr>
  </w:style>
  <w:style w:type="paragraph" w:customStyle="1" w:styleId="NLQH2">
    <w:name w:val="NLQH2"/>
    <w:basedOn w:val="LQH2"/>
    <w:next w:val="NLQN2"/>
    <w:rsid w:val="002A74EC"/>
    <w:pPr>
      <w:ind w:left="1304"/>
    </w:pPr>
  </w:style>
  <w:style w:type="paragraph" w:customStyle="1" w:styleId="NLQN2">
    <w:name w:val="NLQN2"/>
    <w:basedOn w:val="LQN2"/>
    <w:rsid w:val="002A74EC"/>
    <w:pPr>
      <w:ind w:left="1134"/>
    </w:pPr>
  </w:style>
  <w:style w:type="paragraph" w:customStyle="1" w:styleId="NLQH3">
    <w:name w:val="NLQH3"/>
    <w:basedOn w:val="LQH3"/>
    <w:next w:val="NLQN3"/>
    <w:rsid w:val="002A74EC"/>
    <w:pPr>
      <w:ind w:left="1474"/>
    </w:pPr>
  </w:style>
  <w:style w:type="paragraph" w:customStyle="1" w:styleId="NLQN3">
    <w:name w:val="NLQN3"/>
    <w:basedOn w:val="LQN3"/>
    <w:rsid w:val="002A74EC"/>
    <w:pPr>
      <w:ind w:left="1871"/>
    </w:pPr>
  </w:style>
  <w:style w:type="paragraph" w:customStyle="1" w:styleId="NLQList1">
    <w:name w:val="NLQList1"/>
    <w:basedOn w:val="LQList1"/>
    <w:rsid w:val="002A74EC"/>
    <w:pPr>
      <w:ind w:left="1871"/>
    </w:pPr>
  </w:style>
  <w:style w:type="paragraph" w:customStyle="1" w:styleId="NLQList1Cont">
    <w:name w:val="NLQList1 Cont"/>
    <w:basedOn w:val="LQList1Cont"/>
    <w:rsid w:val="002A74EC"/>
    <w:pPr>
      <w:ind w:left="1871"/>
    </w:pPr>
  </w:style>
  <w:style w:type="paragraph" w:customStyle="1" w:styleId="NLQN3-N4">
    <w:name w:val="NLQN3-N4"/>
    <w:basedOn w:val="NLQN3"/>
    <w:next w:val="NLQN4"/>
    <w:rsid w:val="002A74EC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2A74EC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2A74EC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2A74EC"/>
    <w:pPr>
      <w:ind w:left="2835"/>
    </w:pPr>
  </w:style>
  <w:style w:type="paragraph" w:customStyle="1" w:styleId="NLQpart">
    <w:name w:val="NLQpart"/>
    <w:basedOn w:val="LQpart"/>
    <w:next w:val="NLQpartHead"/>
    <w:rsid w:val="002A74EC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2A74EC"/>
    <w:pPr>
      <w:ind w:left="1134"/>
    </w:pPr>
  </w:style>
  <w:style w:type="paragraph" w:customStyle="1" w:styleId="NLQT1">
    <w:name w:val="NLQT1"/>
    <w:basedOn w:val="LQT1"/>
    <w:rsid w:val="002A74EC"/>
    <w:pPr>
      <w:ind w:left="1134"/>
    </w:pPr>
  </w:style>
  <w:style w:type="paragraph" w:customStyle="1" w:styleId="NLQschedule">
    <w:name w:val="NLQschedule"/>
    <w:basedOn w:val="LQschedule"/>
    <w:next w:val="NLQscheduleHead"/>
    <w:rsid w:val="002A74EC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2A74EC"/>
    <w:pPr>
      <w:ind w:left="1134"/>
    </w:pPr>
  </w:style>
  <w:style w:type="paragraph" w:customStyle="1" w:styleId="NLQschedules">
    <w:name w:val="NLQschedules"/>
    <w:basedOn w:val="Normal"/>
    <w:rsid w:val="002A74EC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2A74EC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2A74EC"/>
    <w:pPr>
      <w:ind w:left="1134"/>
    </w:pPr>
  </w:style>
  <w:style w:type="paragraph" w:customStyle="1" w:styleId="NLQSublist1">
    <w:name w:val="NLQSublist1"/>
    <w:basedOn w:val="LQSublist1"/>
    <w:rsid w:val="002A74EC"/>
    <w:pPr>
      <w:ind w:left="2308"/>
    </w:pPr>
  </w:style>
  <w:style w:type="paragraph" w:customStyle="1" w:styleId="NLQSublist1Cont">
    <w:name w:val="NLQSublist1 Cont"/>
    <w:basedOn w:val="LQSublist1Cont"/>
    <w:rsid w:val="002A74EC"/>
    <w:pPr>
      <w:ind w:left="2308"/>
    </w:pPr>
  </w:style>
  <w:style w:type="paragraph" w:customStyle="1" w:styleId="NLQsubPart">
    <w:name w:val="NLQsubPart"/>
    <w:basedOn w:val="LQsubPart"/>
    <w:next w:val="NLQsubPartHead"/>
    <w:rsid w:val="002A74EC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2A74EC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2A74EC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2A74EC"/>
    <w:pPr>
      <w:ind w:left="1134"/>
    </w:pPr>
  </w:style>
  <w:style w:type="paragraph" w:customStyle="1" w:styleId="NLQT1Indent">
    <w:name w:val="NLQT1 Indent"/>
    <w:basedOn w:val="LQT1Indent"/>
    <w:rsid w:val="002A74EC"/>
    <w:pPr>
      <w:ind w:left="1134"/>
    </w:pPr>
  </w:style>
  <w:style w:type="paragraph" w:customStyle="1" w:styleId="NLQT2">
    <w:name w:val="NLQT2"/>
    <w:basedOn w:val="LQT2"/>
    <w:rsid w:val="002A74EC"/>
    <w:pPr>
      <w:ind w:left="1134"/>
    </w:pPr>
  </w:style>
  <w:style w:type="paragraph" w:customStyle="1" w:styleId="NLQT3">
    <w:name w:val="NLQT3"/>
    <w:basedOn w:val="LQT3"/>
    <w:rsid w:val="002A74EC"/>
    <w:pPr>
      <w:ind w:left="1871"/>
    </w:pPr>
  </w:style>
  <w:style w:type="paragraph" w:customStyle="1" w:styleId="NLQT4">
    <w:name w:val="NLQT4"/>
    <w:basedOn w:val="LQT4"/>
    <w:rsid w:val="002A74EC"/>
    <w:pPr>
      <w:ind w:left="2268"/>
    </w:pPr>
  </w:style>
  <w:style w:type="paragraph" w:customStyle="1" w:styleId="NLQT5">
    <w:name w:val="NLQT5"/>
    <w:basedOn w:val="LQT5"/>
    <w:rsid w:val="002A74EC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2A74EC"/>
    <w:pPr>
      <w:ind w:left="1134"/>
    </w:pPr>
  </w:style>
  <w:style w:type="paragraph" w:customStyle="1" w:styleId="NLQTableTopText">
    <w:name w:val="NLQTableTopText"/>
    <w:basedOn w:val="LQTableTopText"/>
    <w:rsid w:val="002A74EC"/>
    <w:pPr>
      <w:ind w:left="1134"/>
    </w:pPr>
  </w:style>
  <w:style w:type="paragraph" w:customStyle="1" w:styleId="NLQTableFoot">
    <w:name w:val="NLQTableFoot"/>
    <w:basedOn w:val="LQTableFoot"/>
    <w:rsid w:val="002A74EC"/>
    <w:pPr>
      <w:ind w:left="1134"/>
    </w:pPr>
  </w:style>
  <w:style w:type="paragraph" w:customStyle="1" w:styleId="NLQTableNumber">
    <w:name w:val="NLQTableNumber"/>
    <w:basedOn w:val="LQTableNumber"/>
    <w:rsid w:val="002A74EC"/>
    <w:pPr>
      <w:ind w:left="1134"/>
    </w:pPr>
  </w:style>
  <w:style w:type="character" w:styleId="PageNumber">
    <w:name w:val="page number"/>
    <w:rsid w:val="002A74EC"/>
  </w:style>
  <w:style w:type="paragraph" w:customStyle="1" w:styleId="Part">
    <w:name w:val="Part"/>
    <w:basedOn w:val="Normal"/>
    <w:next w:val="PartHead"/>
    <w:rsid w:val="002A74EC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2A74EC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2A74EC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2A74EC"/>
    <w:rPr>
      <w:sz w:val="21"/>
    </w:rPr>
  </w:style>
  <w:style w:type="paragraph" w:customStyle="1" w:styleId="Res">
    <w:name w:val="Res"/>
    <w:basedOn w:val="Pre"/>
    <w:next w:val="Pre"/>
    <w:rsid w:val="002A74EC"/>
    <w:rPr>
      <w:b/>
    </w:rPr>
  </w:style>
  <w:style w:type="paragraph" w:customStyle="1" w:styleId="Royal">
    <w:name w:val="Royal"/>
    <w:basedOn w:val="Normal"/>
    <w:next w:val="Pre"/>
    <w:rsid w:val="002A74EC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2A74EC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2A74EC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2A74EC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2A74EC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2A74EC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rsid w:val="002A74EC"/>
  </w:style>
  <w:style w:type="character" w:customStyle="1" w:styleId="SigDate">
    <w:name w:val="Sig_Date"/>
    <w:rsid w:val="002A74EC"/>
  </w:style>
  <w:style w:type="character" w:customStyle="1" w:styleId="Sigsignatory">
    <w:name w:val="Sig_signatory"/>
    <w:rsid w:val="002A74EC"/>
  </w:style>
  <w:style w:type="character" w:customStyle="1" w:styleId="SigSignee">
    <w:name w:val="Sig_Signee"/>
    <w:rsid w:val="002A74EC"/>
    <w:rPr>
      <w:i/>
    </w:rPr>
  </w:style>
  <w:style w:type="character" w:customStyle="1" w:styleId="Sigtitle">
    <w:name w:val="Sig_title"/>
    <w:rsid w:val="002A74EC"/>
  </w:style>
  <w:style w:type="paragraph" w:customStyle="1" w:styleId="SigBlock">
    <w:name w:val="SigBlock"/>
    <w:basedOn w:val="Normal"/>
    <w:rsid w:val="002A74EC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2A74EC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2A74EC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2A74EC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2A74EC"/>
    <w:pPr>
      <w:ind w:left="1134"/>
    </w:pPr>
  </w:style>
  <w:style w:type="paragraph" w:customStyle="1" w:styleId="Sublist1Cont">
    <w:name w:val="Sublist1 Cont"/>
    <w:basedOn w:val="Sublist1"/>
    <w:rsid w:val="002A74EC"/>
    <w:pPr>
      <w:ind w:firstLine="0"/>
    </w:pPr>
  </w:style>
  <w:style w:type="paragraph" w:customStyle="1" w:styleId="SubPart">
    <w:name w:val="SubPart"/>
    <w:basedOn w:val="PartHead"/>
    <w:next w:val="SubPartHead"/>
    <w:rsid w:val="002A74EC"/>
    <w:rPr>
      <w:sz w:val="22"/>
    </w:rPr>
  </w:style>
  <w:style w:type="paragraph" w:customStyle="1" w:styleId="SubPartHead">
    <w:name w:val="SubPartHead"/>
    <w:basedOn w:val="SubPart"/>
    <w:next w:val="T1"/>
    <w:rsid w:val="002A74EC"/>
    <w:rPr>
      <w:sz w:val="21"/>
    </w:rPr>
  </w:style>
  <w:style w:type="paragraph" w:customStyle="1" w:styleId="SubSection">
    <w:name w:val="SubSection"/>
    <w:basedOn w:val="Section"/>
    <w:next w:val="SubSectionHead"/>
    <w:rsid w:val="002A74EC"/>
    <w:rPr>
      <w:sz w:val="18"/>
    </w:rPr>
  </w:style>
  <w:style w:type="paragraph" w:customStyle="1" w:styleId="SubSectionHead">
    <w:name w:val="SubSectionHead"/>
    <w:basedOn w:val="SectionHead"/>
    <w:next w:val="T1"/>
    <w:rsid w:val="002A74EC"/>
    <w:pPr>
      <w:spacing w:before="40"/>
    </w:pPr>
    <w:rPr>
      <w:sz w:val="20"/>
    </w:rPr>
  </w:style>
  <w:style w:type="paragraph" w:customStyle="1" w:styleId="T1Indent">
    <w:name w:val="T1 Indent"/>
    <w:basedOn w:val="T1"/>
    <w:rsid w:val="002A74EC"/>
    <w:pPr>
      <w:ind w:firstLine="170"/>
    </w:pPr>
  </w:style>
  <w:style w:type="paragraph" w:customStyle="1" w:styleId="T2">
    <w:name w:val="T2"/>
    <w:basedOn w:val="T1"/>
    <w:rsid w:val="002A74EC"/>
    <w:pPr>
      <w:spacing w:before="80"/>
    </w:pPr>
  </w:style>
  <w:style w:type="paragraph" w:customStyle="1" w:styleId="T3">
    <w:name w:val="T3"/>
    <w:basedOn w:val="T2"/>
    <w:rsid w:val="002A74EC"/>
    <w:pPr>
      <w:ind w:left="737"/>
    </w:pPr>
  </w:style>
  <w:style w:type="paragraph" w:customStyle="1" w:styleId="T4">
    <w:name w:val="T4"/>
    <w:basedOn w:val="T3"/>
    <w:rsid w:val="002A74EC"/>
    <w:pPr>
      <w:ind w:left="1134"/>
    </w:pPr>
  </w:style>
  <w:style w:type="paragraph" w:customStyle="1" w:styleId="T5">
    <w:name w:val="T5"/>
    <w:basedOn w:val="T4"/>
    <w:rsid w:val="002A74EC"/>
    <w:pPr>
      <w:ind w:left="1701"/>
    </w:pPr>
  </w:style>
  <w:style w:type="paragraph" w:customStyle="1" w:styleId="TableCaption">
    <w:name w:val="TableCaption"/>
    <w:basedOn w:val="Caption"/>
    <w:next w:val="TableTopText"/>
    <w:rsid w:val="002A74EC"/>
    <w:pPr>
      <w:spacing w:before="0"/>
      <w:jc w:val="left"/>
    </w:pPr>
  </w:style>
  <w:style w:type="paragraph" w:customStyle="1" w:styleId="TableTopText">
    <w:name w:val="TableTopText"/>
    <w:basedOn w:val="Normal"/>
    <w:rsid w:val="002A74EC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2A74EC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2A74EC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2A74EC"/>
    <w:pPr>
      <w:spacing w:before="120"/>
    </w:pPr>
  </w:style>
  <w:style w:type="paragraph" w:customStyle="1" w:styleId="TableText">
    <w:name w:val="TableText"/>
    <w:basedOn w:val="Normal"/>
    <w:rsid w:val="002A74EC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2A74EC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A74EC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2A74EC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2A74EC"/>
  </w:style>
  <w:style w:type="paragraph" w:customStyle="1" w:styleId="TOC12">
    <w:name w:val="TOC 12"/>
    <w:next w:val="TOC10"/>
    <w:rsid w:val="002A74EC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2A74EC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2A74EC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2A74EC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2A74EC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2A74EC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2A74EC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A74EC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2A74EC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2A74EC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2A74EC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2A74EC"/>
    <w:pPr>
      <w:spacing w:line="220" w:lineRule="atLeast"/>
      <w:jc w:val="both"/>
    </w:pPr>
    <w:rPr>
      <w:sz w:val="16"/>
    </w:rPr>
  </w:style>
  <w:style w:type="character" w:styleId="Hyperlink">
    <w:name w:val="Hyperlink"/>
    <w:rsid w:val="002A74EC"/>
    <w:rPr>
      <w:color w:val="auto"/>
      <w:u w:val="none"/>
    </w:rPr>
  </w:style>
  <w:style w:type="paragraph" w:styleId="BalloonText">
    <w:name w:val="Balloon Text"/>
    <w:basedOn w:val="Normal"/>
    <w:link w:val="BalloonTextChar"/>
    <w:rsid w:val="002A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4E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old1">
    <w:name w:val="bold1"/>
    <w:rsid w:val="002A74E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A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A74E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2A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74EC"/>
    <w:pPr>
      <w:ind w:left="720"/>
    </w:pPr>
  </w:style>
  <w:style w:type="character" w:styleId="Emphasis">
    <w:name w:val="Emphasis"/>
    <w:qFormat/>
    <w:rsid w:val="002A74EC"/>
    <w:rPr>
      <w:i/>
      <w:iCs/>
    </w:rPr>
  </w:style>
  <w:style w:type="paragraph" w:customStyle="1" w:styleId="FormSubHeadingBefore6pt">
    <w:name w:val="FormSubHeading + Before:  6 pt"/>
    <w:aliases w:val="After:  6 pt,Line spacing:  At least 11 pt"/>
    <w:basedOn w:val="FormSubHeading"/>
    <w:rsid w:val="002A74EC"/>
    <w:pPr>
      <w:spacing w:before="120" w:after="120" w:line="220" w:lineRule="atLeast"/>
    </w:pPr>
    <w:rPr>
      <w:szCs w:val="24"/>
    </w:rPr>
  </w:style>
  <w:style w:type="paragraph" w:customStyle="1" w:styleId="reft">
    <w:name w:val="reft"/>
    <w:basedOn w:val="H3"/>
    <w:rsid w:val="002A74EC"/>
    <w:pPr>
      <w:pageBreakBefore/>
      <w:jc w:val="right"/>
    </w:pPr>
  </w:style>
  <w:style w:type="paragraph" w:styleId="NormalWeb">
    <w:name w:val="Normal (Web)"/>
    <w:basedOn w:val="Normal"/>
    <w:uiPriority w:val="99"/>
    <w:unhideWhenUsed/>
    <w:rsid w:val="002A74EC"/>
    <w:pPr>
      <w:spacing w:before="100" w:beforeAutospacing="1" w:after="100" w:afterAutospacing="1"/>
    </w:pPr>
  </w:style>
  <w:style w:type="paragraph" w:customStyle="1" w:styleId="PartLeft">
    <w:name w:val="Part + Left"/>
    <w:basedOn w:val="T1"/>
    <w:rsid w:val="002A74EC"/>
    <w:pPr>
      <w:tabs>
        <w:tab w:val="center" w:pos="2324"/>
        <w:tab w:val="right" w:pos="4649"/>
      </w:tabs>
      <w:jc w:val="left"/>
    </w:pPr>
  </w:style>
  <w:style w:type="paragraph" w:customStyle="1" w:styleId="lienspa">
    <w:name w:val="lienspa"/>
    <w:basedOn w:val="PartHead"/>
    <w:rsid w:val="002A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330d84a381f447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A39213084</value>
    </field>
    <field name="Objective-Title">
      <value order="0">RHW23 - Notice before making a possession claim - welsh</value>
    </field>
    <field name="Objective-Description">
      <value order="0"/>
    </field>
    <field name="Objective-CreationStamp">
      <value order="0">2022-03-08T10:46:25Z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2022-03-08T10:46:54Z</value>
    </field>
    <field name="Objective-ModificationStamp">
      <value order="0">2022-03-08T10:46:54Z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vA75917931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2022-03-08T10:46:00Z</dcterms:created>
  <dcterms:modified xsi:type="dcterms:W3CDTF">2022-03-08T10:46:00Z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A39213084</vt:lpwstr>
  </property>
  <property fmtid="{D5CDD505-2E9C-101B-9397-08002B2CF9AE}" pid="4" name="Objective-Title">
    <vt:lpwstr>RHW23 - Notice before making a possession claim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2022-03-08T10:46:31Z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2022-03-08T10:46:54Z</vt:filetime>
  </property>
  <property fmtid="{D5CDD505-2E9C-101B-9397-08002B2CF9AE}" pid="10" name="Objective-ModificationStamp">
    <vt:filetime>2022-03-08T10:46:54Z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vA75917931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