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Ind w:w="-108" w:type="dxa"/>
        <w:tblLayout w:type="fixed"/>
        <w:tblLook w:val="0000" w:firstRow="0" w:lastRow="0" w:firstColumn="0" w:lastColumn="0" w:noHBand="0" w:noVBand="0"/>
      </w:tblPr>
      <w:tblGrid>
        <w:gridCol w:w="109"/>
        <w:gridCol w:w="4272"/>
        <w:gridCol w:w="143"/>
        <w:gridCol w:w="145"/>
        <w:gridCol w:w="4379"/>
        <w:gridCol w:w="128"/>
        <w:tblGridChange w:id="0">
          <w:tblGrid>
            <w:gridCol w:w="109"/>
            <w:gridCol w:w="4272"/>
            <w:gridCol w:w="143"/>
            <w:gridCol w:w="145"/>
            <w:gridCol w:w="4379"/>
            <w:gridCol w:w="128"/>
          </w:tblGrid>
        </w:tblGridChange>
      </w:tblGrid>
      <w:tr w:rsidR="0010610C" w:rsidRPr="003A3A5B" w:rsidTr="00E675A7">
        <w:trPr>
          <w:gridBefore w:val="1"/>
          <w:wBefore w:w="59" w:type="pct"/>
          <w:trHeight w:val="1234"/>
        </w:trPr>
        <w:tc>
          <w:tcPr>
            <w:tcW w:w="4941" w:type="pct"/>
            <w:gridSpan w:val="5"/>
          </w:tcPr>
          <w:p w:rsidR="00E675A7" w:rsidRPr="00E675A7" w:rsidRDefault="0010610C" w:rsidP="00E675A7">
            <w:pPr>
              <w:pStyle w:val="FormText"/>
              <w:rPr>
                <w:sz w:val="30"/>
                <w:szCs w:val="30"/>
              </w:rPr>
            </w:pPr>
            <w:r w:rsidRPr="0010610C">
              <w:rPr>
                <w:sz w:val="28"/>
                <w:szCs w:val="28"/>
              </w:rPr>
              <w:t xml:space="preserve">                            </w:t>
            </w:r>
            <w:r w:rsidR="00E675A7" w:rsidRPr="00E675A7">
              <w:rPr>
                <w:sz w:val="30"/>
                <w:szCs w:val="30"/>
                <w:lang w:val="cy-GB"/>
              </w:rPr>
              <w:t>FFURFLEN RHW25</w:t>
            </w:r>
          </w:p>
        </w:tc>
      </w:tr>
      <w:tr w:rsidR="00E675A7" w:rsidRPr="00410FC9" w:rsidTr="00E675A7">
        <w:trPr>
          <w:gridBefore w:val="1"/>
          <w:wBefore w:w="59" w:type="pct"/>
          <w:trHeight w:val="1234"/>
        </w:trPr>
        <w:tc>
          <w:tcPr>
            <w:tcW w:w="4941" w:type="pct"/>
            <w:gridSpan w:val="5"/>
          </w:tcPr>
          <w:p w:rsidR="00E675A7" w:rsidRPr="00E675A7" w:rsidRDefault="00E675A7" w:rsidP="00E675A7">
            <w:pPr>
              <w:pStyle w:val="FormText"/>
              <w:rPr>
                <w:sz w:val="28"/>
                <w:szCs w:val="28"/>
              </w:rPr>
            </w:pPr>
          </w:p>
          <w:p w:rsidR="00E675A7" w:rsidRPr="00E675A7" w:rsidRDefault="00E675A7" w:rsidP="00E675A7">
            <w:pPr>
              <w:pStyle w:val="FormText"/>
              <w:rPr>
                <w:b/>
                <w:sz w:val="24"/>
                <w:szCs w:val="24"/>
              </w:rPr>
            </w:pPr>
            <w:r w:rsidRPr="00E675A7">
              <w:rPr>
                <w:b/>
                <w:sz w:val="24"/>
                <w:szCs w:val="24"/>
              </w:rPr>
              <w:t>HYSBYSIAD TERFYNU O DAN GYMAL TERFYNU’R LANDLORD: CONTRACT SAFONOL CYFNOD PENODOL GYDA CHYFNOD HYSBYSU BYRRAF A GANIATEIR O DDAU FIS</w:t>
            </w:r>
          </w:p>
          <w:p w:rsidR="00E675A7" w:rsidRPr="00E675A7" w:rsidRDefault="00E675A7" w:rsidP="00E675A7">
            <w:pPr>
              <w:pStyle w:val="FormText"/>
              <w:rPr>
                <w:sz w:val="28"/>
                <w:szCs w:val="28"/>
              </w:rPr>
            </w:pPr>
          </w:p>
        </w:tc>
      </w:tr>
      <w:tr w:rsidR="00E675A7" w:rsidRPr="00410FC9" w:rsidTr="00E675A7">
        <w:trPr>
          <w:gridBefore w:val="1"/>
          <w:wBefore w:w="59" w:type="pct"/>
          <w:trHeight w:val="1234"/>
        </w:trPr>
        <w:tc>
          <w:tcPr>
            <w:tcW w:w="4941" w:type="pct"/>
            <w:gridSpan w:val="5"/>
          </w:tcPr>
          <w:tbl>
            <w:tblPr>
              <w:tblW w:w="5023" w:type="pct"/>
              <w:tblLayout w:type="fixed"/>
              <w:tblLook w:val="0000" w:firstRow="0" w:lastRow="0" w:firstColumn="0" w:lastColumn="0" w:noHBand="0" w:noVBand="0"/>
            </w:tblPr>
            <w:tblGrid>
              <w:gridCol w:w="8892"/>
            </w:tblGrid>
            <w:tr w:rsidR="00E675A7" w:rsidRPr="00410FC9" w:rsidTr="004D2BFA">
              <w:trPr>
                <w:trHeight w:val="362"/>
              </w:trPr>
              <w:tc>
                <w:tcPr>
                  <w:tcW w:w="5000" w:type="pct"/>
                </w:tcPr>
                <w:p w:rsidR="00E675A7" w:rsidRPr="00410FC9" w:rsidRDefault="00E675A7" w:rsidP="004D2BFA">
                  <w:pPr>
                    <w:spacing w:line="220" w:lineRule="atLeast"/>
                    <w:jc w:val="center"/>
                    <w:rPr>
                      <w:i/>
                      <w:szCs w:val="20"/>
                      <w:lang w:val="cy-GB" w:eastAsia="en-US"/>
                    </w:rPr>
                  </w:pPr>
                  <w:r w:rsidRPr="00410FC9">
                    <w:rPr>
                      <w:i/>
                      <w:sz w:val="21"/>
                      <w:szCs w:val="20"/>
                      <w:lang w:val="cy-GB" w:eastAsia="en-US"/>
                    </w:rPr>
                    <w:t>Mae’r ffurflen hon i’w defnyddio gan landlord i roi hysbysiad i ddeiliad contract safonol cyfnod penodol sydd â hawl i gyfnod hysbysu byrraf a ganiateir o ddau fis, yn unol â chymal terfynu’r landlord ac adran 194(1) o’r Ddeddf honno, fod rhaid iddo ildio meddiant o’r annedd ar ddyddiad penodedig.</w:t>
                  </w:r>
                  <w:bookmarkStart w:id="1" w:name="_GoBack"/>
                  <w:bookmarkEnd w:id="1"/>
                </w:p>
              </w:tc>
            </w:tr>
          </w:tbl>
          <w:p w:rsidR="00E675A7" w:rsidRPr="00E675A7" w:rsidRDefault="00E675A7" w:rsidP="00E675A7">
            <w:pPr>
              <w:pStyle w:val="FormText"/>
              <w:rPr>
                <w:sz w:val="28"/>
                <w:szCs w:val="28"/>
              </w:rPr>
            </w:pPr>
          </w:p>
        </w:tc>
      </w:tr>
      <w:tr w:rsidR="00E675A7" w:rsidRPr="00410FC9" w:rsidTr="00E675A7">
        <w:trPr>
          <w:gridBefore w:val="1"/>
          <w:wBefore w:w="59" w:type="pct"/>
          <w:trHeight w:val="1234"/>
        </w:trPr>
        <w:tc>
          <w:tcPr>
            <w:tcW w:w="4941" w:type="pct"/>
            <w:gridSpan w:val="5"/>
            <w:shd w:val="clear" w:color="auto" w:fill="auto"/>
          </w:tcPr>
          <w:p w:rsidR="00E675A7" w:rsidRPr="00E675A7" w:rsidRDefault="00E675A7" w:rsidP="00E675A7">
            <w:pPr>
              <w:pStyle w:val="FormText"/>
              <w:rPr>
                <w:sz w:val="28"/>
                <w:szCs w:val="28"/>
              </w:rPr>
            </w:pPr>
          </w:p>
        </w:tc>
      </w:tr>
      <w:tr w:rsidR="00E675A7" w:rsidRPr="00410FC9" w:rsidTr="00E675A7">
        <w:trPr>
          <w:gridAfter w:val="1"/>
          <w:wAfter w:w="71" w:type="pct"/>
          <w:trHeight w:val="237"/>
        </w:trPr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after="4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>Rhan A: Landlord</w:t>
            </w: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E675A7" w:rsidRPr="00410FC9" w:rsidTr="00E675A7">
        <w:trPr>
          <w:gridAfter w:val="1"/>
          <w:wAfter w:w="71" w:type="pct"/>
          <w:trHeight w:val="1303"/>
        </w:trPr>
        <w:tc>
          <w:tcPr>
            <w:tcW w:w="2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  <w:trHeight w:val="70"/>
        </w:trPr>
        <w:tc>
          <w:tcPr>
            <w:tcW w:w="4929" w:type="pct"/>
            <w:gridSpan w:val="5"/>
            <w:tcBorders>
              <w:bottom w:val="single" w:sz="4" w:space="0" w:color="auto"/>
            </w:tcBorders>
          </w:tcPr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  <w:trHeight w:val="70"/>
        </w:trPr>
        <w:tc>
          <w:tcPr>
            <w:tcW w:w="4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lang w:val="cy-GB" w:eastAsia="en-US"/>
              </w:rPr>
              <w:t xml:space="preserve">Rhan C: </w:t>
            </w:r>
            <w:r w:rsidRPr="00410FC9">
              <w:rPr>
                <w:b/>
                <w:bCs/>
                <w:szCs w:val="20"/>
                <w:lang w:val="cy-GB" w:eastAsia="en-US"/>
              </w:rPr>
              <w:t>Annedd</w:t>
            </w:r>
          </w:p>
        </w:tc>
      </w:tr>
      <w:tr w:rsidR="00E675A7" w:rsidRPr="00410FC9" w:rsidTr="00E675A7">
        <w:trPr>
          <w:gridAfter w:val="1"/>
          <w:wAfter w:w="71" w:type="pct"/>
          <w:trHeight w:val="362"/>
        </w:trPr>
        <w:tc>
          <w:tcPr>
            <w:tcW w:w="4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  <w:trHeight w:val="70"/>
        </w:trPr>
        <w:tc>
          <w:tcPr>
            <w:tcW w:w="4929" w:type="pct"/>
            <w:gridSpan w:val="5"/>
            <w:tcBorders>
              <w:bottom w:val="single" w:sz="4" w:space="0" w:color="auto"/>
            </w:tcBorders>
          </w:tcPr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</w:trPr>
        <w:tc>
          <w:tcPr>
            <w:tcW w:w="4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jc w:val="center"/>
              <w:rPr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i Ildio Meddiant</w:t>
            </w:r>
          </w:p>
          <w:p w:rsidR="00E675A7" w:rsidRPr="00410FC9" w:rsidRDefault="00E675A7" w:rsidP="004D2BFA">
            <w:pPr>
              <w:jc w:val="center"/>
              <w:rPr>
                <w:b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</w:trPr>
        <w:tc>
          <w:tcPr>
            <w:tcW w:w="492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yn hysbysu bod cymal terfynu’r landlord yng nghontract meddiannaeth yr annedd uchod yn cael ei arfer. Mae’r landlord yn ei gwneud yn ofynnol i chi, ddeiliad neu ddeiliaid y contract, ildio meddiant o’r annedd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after="40" w:line="220" w:lineRule="atLeast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Sylwer: Ni chaiff y dyddiad penodedig fod yn llai na dau fis ar ôl y diwrnod y rhoddir hysbysiad i ddeiliad neu ddeiliaid y contract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yn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unol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â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chymal</w:t>
            </w:r>
            <w:r w:rsidRPr="00410FC9">
              <w:rPr>
                <w:sz w:val="21"/>
                <w:szCs w:val="20"/>
                <w:lang w:val="cy-GB" w:eastAsia="cy-GB"/>
              </w:rPr>
              <w:t xml:space="preserve"> </w:t>
            </w:r>
            <w:r w:rsidRPr="00410FC9">
              <w:rPr>
                <w:i/>
                <w:iCs/>
                <w:sz w:val="21"/>
                <w:szCs w:val="20"/>
                <w:lang w:val="cy-GB" w:eastAsia="cy-GB"/>
              </w:rPr>
              <w:t>terfynu’r landlord.</w:t>
            </w:r>
          </w:p>
        </w:tc>
      </w:tr>
      <w:tr w:rsidR="00E675A7" w:rsidRPr="00410FC9" w:rsidTr="00E675A7">
        <w:trPr>
          <w:gridAfter w:val="1"/>
          <w:wAfter w:w="71" w:type="pct"/>
        </w:trPr>
        <w:tc>
          <w:tcPr>
            <w:tcW w:w="492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</w:trPr>
        <w:tc>
          <w:tcPr>
            <w:tcW w:w="4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 Rhan E: Llofnod </w:t>
            </w:r>
          </w:p>
        </w:tc>
      </w:tr>
      <w:tr w:rsidR="00E675A7" w:rsidRPr="00410FC9" w:rsidTr="00E675A7">
        <w:trPr>
          <w:gridAfter w:val="1"/>
          <w:wAfter w:w="71" w:type="pct"/>
        </w:trPr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5A7" w:rsidRPr="00410FC9" w:rsidRDefault="00E675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A7" w:rsidRPr="00410FC9" w:rsidRDefault="00E675A7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E675A7" w:rsidRPr="00410FC9" w:rsidRDefault="00E675A7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</w:trPr>
        <w:tc>
          <w:tcPr>
            <w:tcW w:w="4929" w:type="pct"/>
            <w:gridSpan w:val="5"/>
            <w:tcBorders>
              <w:top w:val="single" w:sz="4" w:space="0" w:color="auto"/>
            </w:tcBorders>
          </w:tcPr>
          <w:p w:rsidR="00E675A7" w:rsidRPr="00410FC9" w:rsidRDefault="00E675A7" w:rsidP="004D2BFA">
            <w:pPr>
              <w:spacing w:line="220" w:lineRule="atLeast"/>
              <w:rPr>
                <w:b/>
                <w:sz w:val="20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Canllawiau i ddeiliaid contract</w:t>
            </w:r>
          </w:p>
          <w:p w:rsidR="00E675A7" w:rsidRPr="00410FC9" w:rsidRDefault="00E675A7" w:rsidP="004D2BFA">
            <w:pPr>
              <w:spacing w:before="120"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Yr hysbysiad hwn yw’r cam cyntaf sy’n ei gwneud yn ofynnol i chi ildio meddiant o’r annedd a nodir yn Rhan C. Dylech ei ddarllen yn ofalus iawn. Os nad ydych yn ildio meddiant erbyn y dyddiad a roddir yn Rhan D, caiff eich landlord wneud cais i’r llys am orchymyn sy’n ei gwneud yn ofynnol i chi ildio meddiant.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lastRenderedPageBreak/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</w:tc>
      </w:tr>
      <w:tr w:rsidR="00E675A7" w:rsidRPr="00410FC9" w:rsidTr="00E675A7">
        <w:trPr>
          <w:gridAfter w:val="1"/>
          <w:wAfter w:w="71" w:type="pct"/>
          <w:trHeight w:val="1500"/>
        </w:trPr>
        <w:tc>
          <w:tcPr>
            <w:tcW w:w="4929" w:type="pct"/>
            <w:gridSpan w:val="5"/>
          </w:tcPr>
          <w:p w:rsidR="00E675A7" w:rsidRPr="00410FC9" w:rsidRDefault="00E675A7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lastRenderedPageBreak/>
              <w:t>Cyfnod hysbysu byrraf a ganiateir o ddau fis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Gall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contract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meddiannaeth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fod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â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chyfnod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hysbysu byrraf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a ganiateir o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ddau fis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oherwydd: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a) ei fod yn g</w:t>
            </w:r>
            <w:r w:rsidRPr="00410FC9">
              <w:rPr>
                <w:sz w:val="20"/>
                <w:szCs w:val="20"/>
                <w:u w:val="single"/>
                <w:lang w:val="cy-GB" w:eastAsia="en-US"/>
              </w:rPr>
              <w:t>ontract wedi ei drosi</w:t>
            </w:r>
            <w:r w:rsidRPr="00410FC9">
              <w:rPr>
                <w:sz w:val="20"/>
                <w:szCs w:val="20"/>
                <w:lang w:val="cy-GB" w:eastAsia="en-US"/>
              </w:rPr>
              <w:t>: yn union cyn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i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Ddeddf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Rhentu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Cartrefi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(Cymru)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2016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ddod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rym,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roedd y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contract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meddiannaeth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denantiaeth neu’n drwydded am gyfnod penodol a oedd yn cynnwys cymal terfynu’r landlord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(paragraff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25D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o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Atodlen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12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i’r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Ddeddf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honno)</w:t>
            </w:r>
            <w:r>
              <w:rPr>
                <w:sz w:val="20"/>
                <w:szCs w:val="20"/>
                <w:lang w:val="cy-GB" w:eastAsia="en-US"/>
              </w:rPr>
              <w:t>,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neu</w:t>
            </w:r>
          </w:p>
          <w:p w:rsidR="00E675A7" w:rsidRPr="00410FC9" w:rsidRDefault="00E675A7" w:rsidP="004D2BFA">
            <w:pPr>
              <w:spacing w:before="40"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b) bod y contract meddiannaeth yn dod o fewn Atodlen 8A i Ddeddf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Rhentu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Cartrefi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(Cymru) 2016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(adran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195A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o’r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Ddeddf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honno):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</w:p>
        </w:tc>
      </w:tr>
      <w:tr w:rsidR="00E675A7" w:rsidRPr="00410FC9" w:rsidTr="00E675A7">
        <w:trPr>
          <w:gridAfter w:val="1"/>
          <w:wAfter w:w="71" w:type="pct"/>
          <w:trHeight w:val="225"/>
        </w:trPr>
        <w:tc>
          <w:tcPr>
            <w:tcW w:w="2465" w:type="pct"/>
            <w:gridSpan w:val="3"/>
          </w:tcPr>
          <w:p w:rsidR="00E675A7" w:rsidRPr="00410FC9" w:rsidRDefault="00E675A7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1. Contractau safonol ymddygiad gwaharddedig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Llety ar gyfer myfyrwyr mewn addysg uwch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4. Llety â chymorth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5. Llety i geiswyr lloches, etc.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6. Llety i bersonau digartref</w:t>
            </w:r>
          </w:p>
          <w:p w:rsidR="00E675A7" w:rsidRPr="00410FC9" w:rsidRDefault="00E675A7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</w:p>
        </w:tc>
        <w:tc>
          <w:tcPr>
            <w:tcW w:w="2465" w:type="pct"/>
            <w:gridSpan w:val="2"/>
          </w:tcPr>
          <w:p w:rsidR="00E675A7" w:rsidRPr="00410FC9" w:rsidRDefault="00E675A7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7. Meddiannaeth yn rhinwedd swydd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8. Meddiannaeth yn rhinwedd swydd: yr heddlu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10. Llety dros dro: tir sydd wedi ei gaffael ar gyfer datblygu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11. Llety dros dro: trefniadau tymor byr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E675A7" w:rsidRPr="00410FC9" w:rsidTr="00E675A7">
        <w:trPr>
          <w:gridAfter w:val="1"/>
          <w:wAfter w:w="71" w:type="pct"/>
          <w:trHeight w:val="225"/>
        </w:trPr>
        <w:tc>
          <w:tcPr>
            <w:tcW w:w="4929" w:type="pct"/>
            <w:gridSpan w:val="5"/>
          </w:tcPr>
          <w:p w:rsidR="00E675A7" w:rsidRPr="00410FC9" w:rsidRDefault="00E675A7" w:rsidP="004D2BFA">
            <w:pPr>
              <w:spacing w:before="120"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Cyfyngiadau ar roi’r hysbysiad hwn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Rhaid i’r contract meddiannaeth gynnwys cymal terfynu landlord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194 o Ddeddf Rhentu Cartrefi (Cymru) 2016, dim ond os yw’r contract safonol cyfnod penodol yn cynnwys cymal terfynu’r landlord y caniateir i’r hysbysiad hwn gael ei roi.</w:t>
            </w:r>
          </w:p>
          <w:p w:rsidR="00E675A7" w:rsidRPr="00410FC9" w:rsidRDefault="00E675A7" w:rsidP="004D2BFA">
            <w:pPr>
              <w:spacing w:before="40"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Os yw’r contract yn </w:t>
            </w:r>
            <w:r w:rsidRPr="00410FC9">
              <w:rPr>
                <w:sz w:val="20"/>
                <w:szCs w:val="20"/>
                <w:u w:val="single"/>
                <w:lang w:val="cy-GB" w:eastAsia="en-US"/>
              </w:rPr>
              <w:t>gontract wedi ei drosi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, dim ond os oedd y denantiaeth neu’r drwydded hefyd yn cynnwys cymal terfynu’r landlord yn union cyn i’r Ddeddf honno ddod i rym y caniateir iddo gynnwys cymal terfynu’r landlord. </w:t>
            </w:r>
          </w:p>
          <w:p w:rsidR="00E675A7" w:rsidRPr="00410FC9" w:rsidRDefault="00E675A7" w:rsidP="004D2BFA">
            <w:pPr>
              <w:shd w:val="clear" w:color="auto" w:fill="FFFFFF"/>
              <w:rPr>
                <w:i/>
                <w:sz w:val="20"/>
                <w:lang w:val="cy-GB"/>
              </w:rPr>
            </w:pPr>
            <w:r w:rsidRPr="00410FC9">
              <w:rPr>
                <w:sz w:val="20"/>
                <w:lang w:val="cy-GB"/>
              </w:rPr>
              <w:t xml:space="preserve">Os cafodd y contract meddiannaeth ei wneud ar ôl i’r Ddeddf honno ddod i rym, dim ond os yw’n gontract am gyfnod o ddwy flynedd neu fwy </w:t>
            </w:r>
            <w:r w:rsidRPr="00410FC9">
              <w:rPr>
                <w:b/>
                <w:bCs/>
                <w:sz w:val="20"/>
                <w:lang w:val="cy-GB"/>
              </w:rPr>
              <w:t>neu</w:t>
            </w:r>
            <w:r w:rsidRPr="00410FC9">
              <w:rPr>
                <w:sz w:val="20"/>
                <w:lang w:val="cy-GB"/>
              </w:rPr>
              <w:t xml:space="preserve"> wedi ei restru yn Atodlen 9C i’r Ddeddf honno y caniateir iddo gynnwys cymal terfynu’r landlord:</w:t>
            </w:r>
          </w:p>
        </w:tc>
      </w:tr>
      <w:tr w:rsidR="00E675A7" w:rsidRPr="00410FC9" w:rsidTr="00E675A7">
        <w:trPr>
          <w:gridAfter w:val="1"/>
          <w:wAfter w:w="71" w:type="pct"/>
          <w:trHeight w:val="225"/>
        </w:trPr>
        <w:tc>
          <w:tcPr>
            <w:tcW w:w="2465" w:type="pct"/>
            <w:gridSpan w:val="3"/>
          </w:tcPr>
          <w:p w:rsidR="00E675A7" w:rsidRPr="00410FC9" w:rsidRDefault="00E675A7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cy-GB"/>
              </w:rPr>
              <w:t>1. Tenantiaethau a thrwyddedau sy’n gontractau meddiannaeth oherwydd hysbysiad a roddir o dan Ran 2 o Atodlen 2 (i’r Ddeddf honno)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Llety â chymorth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Llety i geiswyr lloches, etc.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4. Llety i bersonau digartref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5. Meddiannaeth yn rhinwedd swydd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</w:p>
        </w:tc>
        <w:tc>
          <w:tcPr>
            <w:tcW w:w="2465" w:type="pct"/>
            <w:gridSpan w:val="2"/>
          </w:tcPr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6. Meddiannaeth yn rhinwedd swydd: yr heddlu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7. Meddiannaeth yn rhinwedd swydd: y gwasanaethau tân ac achub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8. Llety dros dro: tir sydd wedi ei gaffael ar gyfer datblygu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9. Llety dros dro: trefniadau tymor byr</w:t>
            </w:r>
          </w:p>
          <w:p w:rsidR="00E675A7" w:rsidRPr="00410FC9" w:rsidRDefault="00E675A7" w:rsidP="004D2BFA">
            <w:pPr>
              <w:spacing w:before="40" w:after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10. Llety dros dro: llety yn ystod gwaith</w:t>
            </w:r>
          </w:p>
        </w:tc>
      </w:tr>
      <w:tr w:rsidR="00E675A7" w:rsidRPr="00410FC9" w:rsidTr="00E675A7">
        <w:trPr>
          <w:gridAfter w:val="1"/>
          <w:wAfter w:w="71" w:type="pct"/>
          <w:trHeight w:val="930"/>
        </w:trPr>
        <w:tc>
          <w:tcPr>
            <w:tcW w:w="4929" w:type="pct"/>
            <w:gridSpan w:val="5"/>
          </w:tcPr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Pedwar/</w:t>
            </w:r>
            <w:r>
              <w:rPr>
                <w:sz w:val="20"/>
                <w:szCs w:val="20"/>
                <w:u w:val="single"/>
                <w:lang w:val="cy-GB" w:eastAsia="en-US"/>
              </w:rPr>
              <w:t>18</w:t>
            </w:r>
            <w:r w:rsidRPr="00410FC9">
              <w:rPr>
                <w:sz w:val="20"/>
                <w:szCs w:val="20"/>
                <w:u w:val="single"/>
                <w:lang w:val="cy-GB" w:eastAsia="en-US"/>
              </w:rPr>
              <w:t xml:space="preserve"> mis cyntaf y feddiannaeth</w:t>
            </w:r>
          </w:p>
          <w:p w:rsidR="00E675A7" w:rsidRPr="00410FC9" w:rsidRDefault="00E675A7" w:rsidP="004D2BFA">
            <w:pPr>
              <w:spacing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unol ag adran 196 o Ddeddf Rhentu Cartrefi (Cymru) 2016, ni chaniateir i’r hysbysiad hwn gael ei roi o fewn y </w:t>
            </w:r>
            <w:r>
              <w:rPr>
                <w:b/>
                <w:bCs/>
                <w:sz w:val="20"/>
                <w:szCs w:val="20"/>
                <w:lang w:val="cy-GB" w:eastAsia="en-US"/>
              </w:rPr>
              <w:t>18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mis cyntaf ar ôl dyddiad meddiannu’r contract meddiannaeth.</w:t>
            </w:r>
          </w:p>
          <w:p w:rsidR="00E675A7" w:rsidRPr="00410FC9" w:rsidRDefault="00E675A7" w:rsidP="004D2BFA">
            <w:pPr>
              <w:spacing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oedd y contract meddiannaeth yn denantiaeth neu’n drwydded am gyfnod penodol a oedd yn cynnwys cymal terfynu’r landlord yn union cyn i’r Ddeddf honno ddod i rym (</w:t>
            </w:r>
            <w:r w:rsidRPr="00410FC9">
              <w:rPr>
                <w:sz w:val="20"/>
                <w:szCs w:val="20"/>
                <w:u w:val="single"/>
                <w:lang w:val="cy-GB" w:eastAsia="en-US"/>
              </w:rPr>
              <w:t>contract wedi ei drosi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), ni chaniateir i’r hysbysiad hwn gael ei roi yn ystod y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pedwar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mis cyntaf ar ôl dyddiad meddiannu’r contract. </w:t>
            </w:r>
          </w:p>
          <w:p w:rsidR="00E675A7" w:rsidRPr="00410FC9" w:rsidRDefault="00E675A7" w:rsidP="004D2BFA">
            <w:pPr>
              <w:spacing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y naill achos neu’r llall, nid yw’r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cyfyngiad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hwn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yn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gymwys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os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yw’r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contract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meddiannaeth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yn dod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o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fewn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Atodlen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9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sz w:val="20"/>
                <w:szCs w:val="20"/>
                <w:lang w:val="cy-GB" w:eastAsia="en-US"/>
              </w:rPr>
              <w:t>i’r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Ddeddf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honno: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</w:p>
        </w:tc>
      </w:tr>
      <w:tr w:rsidR="00E675A7" w:rsidRPr="00410FC9" w:rsidTr="00E675A7">
        <w:trPr>
          <w:gridAfter w:val="1"/>
          <w:wAfter w:w="71" w:type="pct"/>
          <w:trHeight w:val="245"/>
        </w:trPr>
        <w:tc>
          <w:tcPr>
            <w:tcW w:w="2465" w:type="pct"/>
            <w:gridSpan w:val="3"/>
          </w:tcPr>
          <w:p w:rsidR="00E675A7" w:rsidRPr="00410FC9" w:rsidRDefault="00E675A7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1. Contractau safonol ymddygiad gwaharddedig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Llety â chymorth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lastRenderedPageBreak/>
              <w:t>4. Llety i geiswyr lloches, etc.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5. Diddymwyd – nid yw’n gymwys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6. Llety i bersonau digartref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</w:p>
        </w:tc>
        <w:tc>
          <w:tcPr>
            <w:tcW w:w="2465" w:type="pct"/>
            <w:gridSpan w:val="2"/>
          </w:tcPr>
          <w:p w:rsidR="00E675A7" w:rsidRPr="00410FC9" w:rsidRDefault="00E675A7" w:rsidP="004D2BFA">
            <w:pPr>
              <w:spacing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lastRenderedPageBreak/>
              <w:t>7. Meddiannaeth yn rhinwedd swydd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8. Meddiannaeth yn rhinwedd swydd: yr heddlu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lastRenderedPageBreak/>
              <w:t>10. Llety dros dro: tir sydd wedi ei gaffael ar gyfer datblygu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11. Llety dros dro: trefniadau tymor byr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E675A7" w:rsidRPr="00410FC9" w:rsidTr="00E675A7">
        <w:trPr>
          <w:gridAfter w:val="1"/>
          <w:wAfter w:w="71" w:type="pct"/>
          <w:trHeight w:val="2445"/>
        </w:trPr>
        <w:tc>
          <w:tcPr>
            <w:tcW w:w="4929" w:type="pct"/>
            <w:gridSpan w:val="5"/>
          </w:tcPr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cy-GB"/>
              </w:rPr>
              <w:lastRenderedPageBreak/>
              <w:t>Torri rhwymedigaeth statudol</w:t>
            </w:r>
          </w:p>
          <w:p w:rsidR="00E675A7" w:rsidRPr="00410FC9" w:rsidRDefault="00E675A7" w:rsidP="004D2BFA">
            <w:pPr>
              <w:spacing w:after="120"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197 o Ddeddf Rhentu Cartrefi (Cymru) 2016, ni chaniateir rhoi’r hysbysiad hwn ar adeg pan fo unrhyw rwymedigaethau statudol a restrir yn Atodlen 9A i’r Ddeddf honno wedi eu torri: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1. Methu â darparu datganiad ysgrifenedig;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2. Cyfyngiad o chwe mis yn dilyn methu â darparu datganiad ysgrifenedig o fewn y cyfnod a bennir yn adran 31 (o’r Ddeddf honno);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3. Methu â darparu gwybodaeth;</w:t>
            </w:r>
          </w:p>
          <w:p w:rsidR="00E675A7" w:rsidRPr="00410FC9" w:rsidRDefault="00E675A7" w:rsidP="004D2BFA">
            <w:pPr>
              <w:spacing w:before="40"/>
              <w:rPr>
                <w:lang w:val="cy-GB"/>
              </w:rPr>
            </w:pPr>
            <w:r w:rsidRPr="00410FC9">
              <w:rPr>
                <w:i/>
                <w:sz w:val="20"/>
                <w:lang w:val="cy-GB"/>
              </w:rPr>
              <w:t>3A. Methu â darparu tystysgrif perfformiad ynni ddilys;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4. Torri gofynion sicrwydd a blaendal;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5. Taliadau gwaharddedig a blaendaliadau cadw o dan Ddeddf Rhentu Cartrefi (Ffioedd etc.) (Cymru) 2019;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5A. Methu â sicrhau bod larymau mwg a larymau carbon monocsid sy’n gweithio wedi eu gosod;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5B. Methu â chyflenwi adroddiad ar gyflwr trydanol etc.;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>5C. Methu â darparu adroddiad ar ddiogelwch nwy i ddeiliad contract.</w:t>
            </w:r>
          </w:p>
          <w:p w:rsidR="00E675A7" w:rsidRPr="00410FC9" w:rsidRDefault="00E675A7" w:rsidP="004D2BFA">
            <w:pPr>
              <w:spacing w:before="40" w:line="220" w:lineRule="atLeast"/>
              <w:rPr>
                <w:i/>
                <w:sz w:val="20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Ni chaniateir rhoi’r hysbysiad hwn oni chydymffurfiwyd â gofynion adran 44 o Ddeddf Tai (Cymru) 2014.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75 o Ddeddf Tai 2004, ni chaniateir rhoi’r hysbysiad hwn mewn perthynas â thŷ amlfeddiannaeth sydd heb drwydded yn unol â’r Ddeddf honno.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</w:p>
        </w:tc>
      </w:tr>
      <w:tr w:rsidR="00E675A7" w:rsidRPr="00410FC9" w:rsidTr="00E675A7">
        <w:trPr>
          <w:gridAfter w:val="1"/>
          <w:wAfter w:w="71" w:type="pct"/>
          <w:trHeight w:val="795"/>
        </w:trPr>
        <w:tc>
          <w:tcPr>
            <w:tcW w:w="4929" w:type="pct"/>
            <w:gridSpan w:val="5"/>
          </w:tcPr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Hawliad meddiant dialgar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Caiff deiliad contract orfodi neu ddibynnu ar rwymedigaethau’r landlord mewn perthynas ag annedd ffit i bobl fyw ynddi ac i gadw’r annedd mewn cyflwr da o dan adrannau 91 a 92 o Ddeddf Rhentu Cartrefi (Cymru) 2016. Os yw’r landlord yn dyroddi’r hysbysiad hwn mewn ymateb i hynny, caiff llys ystyried bod y landlord yn gwneud hawliad meddiant i osgoi cydymffurfio â’r rhwymedigaethau hynny (hawliad dialgar). Yn unol ag adran 217 o’r Ddeddf honno, caiff y llys wrthod gwneud gorchymyn adennill meddiant os yw’r llys yn ystyried bod yr hawliad meddiant yn hawliad dialgar. 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198 o Ddeddf Rhentu Cartrefi (Cymru) 2016, ni chaniateir rhoi’r hysbysiad hwn o fewn chwe mis i’r llys yn gwrthod gwneud gorchymyn adennill meddiant oherwydd bod y llys yn ystyried bod yr hawliad yn hawliad dialgar.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</w:p>
          <w:p w:rsidR="00E675A7" w:rsidRPr="00410FC9" w:rsidRDefault="00E675A7" w:rsidP="004D2BFA">
            <w:pPr>
              <w:spacing w:after="120" w:line="220" w:lineRule="atLeast"/>
              <w:rPr>
                <w:b/>
                <w:sz w:val="20"/>
                <w:szCs w:val="20"/>
                <w:lang w:val="cy-GB"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Cyfyngiadau ar ddod â hawliad meddiant</w:t>
            </w:r>
          </w:p>
          <w:p w:rsidR="00E675A7" w:rsidRPr="00410FC9" w:rsidRDefault="00E675A7" w:rsidP="004D2BFA">
            <w:pPr>
              <w:spacing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Terfynau amser</w:t>
            </w:r>
          </w:p>
          <w:p w:rsidR="00E675A7" w:rsidRPr="00410FC9" w:rsidRDefault="00E675A7" w:rsidP="004D2BFA">
            <w:pPr>
              <w:spacing w:after="120" w:line="220" w:lineRule="atLeast"/>
              <w:rPr>
                <w:sz w:val="20"/>
                <w:szCs w:val="20"/>
                <w:u w:val="single"/>
                <w:lang w:val="cy-GB"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unol ag adran 200 o Ddeddf Rhentu Cartrefi (Cymru) 2016, ni chaiff y landlord wneud hawliad meddiant cyn y dyddiad a restrir yn Rhan D o’r hysbysiad hwn </w:t>
            </w:r>
            <w:r w:rsidRPr="00410FC9">
              <w:rPr>
                <w:b/>
                <w:sz w:val="20"/>
                <w:szCs w:val="20"/>
                <w:lang w:val="cy-GB" w:eastAsia="en-US"/>
              </w:rPr>
              <w:t>neu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ar ôl cyfnod o </w:t>
            </w:r>
            <w:r>
              <w:rPr>
                <w:sz w:val="20"/>
                <w:szCs w:val="20"/>
                <w:lang w:val="cy-GB" w:eastAsia="en-US"/>
              </w:rPr>
              <w:t>ddau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fis ar ôl y dyddiad hwnnw.</w:t>
            </w:r>
          </w:p>
        </w:tc>
      </w:tr>
    </w:tbl>
    <w:p w:rsidR="00AB10B4" w:rsidRPr="00404DAC" w:rsidRDefault="00E675A7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7A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CB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4A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C3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AA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4F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61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2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04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4EFD"/>
    <w:multiLevelType w:val="hybridMultilevel"/>
    <w:tmpl w:val="140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56AB2"/>
    <w:multiLevelType w:val="multilevel"/>
    <w:tmpl w:val="E8A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854"/>
    <w:multiLevelType w:val="multilevel"/>
    <w:tmpl w:val="F0D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44A75"/>
    <w:multiLevelType w:val="hybridMultilevel"/>
    <w:tmpl w:val="7BD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5" w15:restartNumberingAfterBreak="0">
    <w:nsid w:val="2DAE1A4C"/>
    <w:multiLevelType w:val="hybridMultilevel"/>
    <w:tmpl w:val="37C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E18"/>
    <w:multiLevelType w:val="multilevel"/>
    <w:tmpl w:val="470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25FAE"/>
    <w:multiLevelType w:val="multilevel"/>
    <w:tmpl w:val="C76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61248"/>
    <w:multiLevelType w:val="hybridMultilevel"/>
    <w:tmpl w:val="074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E6D2E33"/>
    <w:multiLevelType w:val="hybridMultilevel"/>
    <w:tmpl w:val="CCB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06D"/>
    <w:multiLevelType w:val="hybridMultilevel"/>
    <w:tmpl w:val="F02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352"/>
    <w:multiLevelType w:val="hybridMultilevel"/>
    <w:tmpl w:val="3546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462"/>
    <w:multiLevelType w:val="hybridMultilevel"/>
    <w:tmpl w:val="EA8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52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 w15:restartNumberingAfterBreak="0">
    <w:nsid w:val="71B86673"/>
    <w:multiLevelType w:val="hybridMultilevel"/>
    <w:tmpl w:val="B0368C52"/>
    <w:lvl w:ilvl="0" w:tplc="0809000F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11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21"/>
  </w:num>
  <w:num w:numId="14">
    <w:abstractNumId w:val="15"/>
  </w:num>
  <w:num w:numId="15">
    <w:abstractNumId w:val="18"/>
  </w:num>
  <w:num w:numId="16">
    <w:abstractNumId w:val="13"/>
  </w:num>
  <w:num w:numId="17">
    <w:abstractNumId w:val="10"/>
  </w:num>
  <w:num w:numId="18">
    <w:abstractNumId w:val="2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0C"/>
    <w:rsid w:val="0010610C"/>
    <w:rsid w:val="00404DAC"/>
    <w:rsid w:val="008A6221"/>
    <w:rsid w:val="009C56C7"/>
    <w:rsid w:val="00D06BB7"/>
    <w:rsid w:val="00E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8DD2"/>
  <w15:chartTrackingRefBased/>
  <w15:docId w15:val="{B5A0EE5E-B1AF-4C7C-8A6D-C832F56B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06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61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10C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10610C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10610C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10610C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10610C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10610C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10610C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10610C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10610C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10610C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10610C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10610C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10610C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10610C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semiHidden/>
    <w:rsid w:val="001061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10C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0610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0610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1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10610C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10610C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10610C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10610C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10610C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10610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10610C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10610C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10610C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10610C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610C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10610C"/>
    <w:pPr>
      <w:ind w:firstLine="0"/>
    </w:pPr>
  </w:style>
  <w:style w:type="character" w:styleId="FootnoteReference">
    <w:name w:val="footnote reference"/>
    <w:semiHidden/>
    <w:rsid w:val="0010610C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1061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1061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10610C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10610C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10610C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10610C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10610C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10610C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10610C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10610C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10610C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10610C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10610C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10610C"/>
  </w:style>
  <w:style w:type="paragraph" w:customStyle="1" w:styleId="LaidDraft">
    <w:name w:val="LaidDraft"/>
    <w:basedOn w:val="Approval"/>
    <w:next w:val="linespace"/>
    <w:rsid w:val="0010610C"/>
  </w:style>
  <w:style w:type="paragraph" w:customStyle="1" w:styleId="LegSeal">
    <w:name w:val="LegSeal"/>
    <w:next w:val="linespace"/>
    <w:rsid w:val="001061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10610C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10610C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10610C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10610C"/>
    <w:pPr>
      <w:ind w:firstLine="0"/>
    </w:pPr>
  </w:style>
  <w:style w:type="paragraph" w:customStyle="1" w:styleId="LQT1">
    <w:name w:val="LQT1"/>
    <w:basedOn w:val="Normal"/>
    <w:rsid w:val="0010610C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10610C"/>
    <w:pPr>
      <w:spacing w:before="80"/>
    </w:pPr>
  </w:style>
  <w:style w:type="paragraph" w:customStyle="1" w:styleId="LQDefPara">
    <w:name w:val="LQ Def Para"/>
    <w:basedOn w:val="LQT2"/>
    <w:rsid w:val="0010610C"/>
    <w:pPr>
      <w:ind w:left="907"/>
    </w:pPr>
  </w:style>
  <w:style w:type="paragraph" w:customStyle="1" w:styleId="LQArrHead">
    <w:name w:val="LQArrHead"/>
    <w:basedOn w:val="ArrHead"/>
    <w:next w:val="LQTOC1"/>
    <w:rsid w:val="0010610C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10610C"/>
    <w:pPr>
      <w:ind w:left="567"/>
    </w:pPr>
  </w:style>
  <w:style w:type="paragraph" w:styleId="TOC1">
    <w:name w:val="toc 1"/>
    <w:basedOn w:val="Normal"/>
    <w:next w:val="Normal"/>
    <w:autoRedefine/>
    <w:semiHidden/>
    <w:rsid w:val="0010610C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10610C"/>
    <w:pPr>
      <w:ind w:left="567"/>
    </w:pPr>
  </w:style>
  <w:style w:type="paragraph" w:styleId="TOC2">
    <w:name w:val="toc 2"/>
    <w:basedOn w:val="Normal"/>
    <w:next w:val="Normal"/>
    <w:autoRedefine/>
    <w:semiHidden/>
    <w:rsid w:val="0010610C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10610C"/>
    <w:pPr>
      <w:ind w:left="567"/>
    </w:pPr>
  </w:style>
  <w:style w:type="paragraph" w:styleId="TOC3">
    <w:name w:val="toc 3"/>
    <w:basedOn w:val="Normal"/>
    <w:next w:val="Normal"/>
    <w:autoRedefine/>
    <w:semiHidden/>
    <w:rsid w:val="0010610C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10610C"/>
    <w:pPr>
      <w:ind w:left="567"/>
    </w:pPr>
  </w:style>
  <w:style w:type="paragraph" w:styleId="TOC4">
    <w:name w:val="toc 4"/>
    <w:basedOn w:val="Normal"/>
    <w:next w:val="Normal"/>
    <w:autoRedefine/>
    <w:semiHidden/>
    <w:rsid w:val="0010610C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10610C"/>
    <w:pPr>
      <w:ind w:left="567"/>
    </w:pPr>
  </w:style>
  <w:style w:type="paragraph" w:styleId="TOC5">
    <w:name w:val="toc 5"/>
    <w:basedOn w:val="Normal"/>
    <w:next w:val="Normal"/>
    <w:autoRedefine/>
    <w:semiHidden/>
    <w:rsid w:val="0010610C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10610C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10610C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10610C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10610C"/>
    <w:pPr>
      <w:ind w:left="567"/>
    </w:pPr>
  </w:style>
  <w:style w:type="paragraph" w:customStyle="1" w:styleId="LQH1">
    <w:name w:val="LQH1"/>
    <w:basedOn w:val="H1"/>
    <w:next w:val="LQN1"/>
    <w:rsid w:val="0010610C"/>
    <w:pPr>
      <w:ind w:left="567"/>
    </w:pPr>
  </w:style>
  <w:style w:type="paragraph" w:customStyle="1" w:styleId="LQN1">
    <w:name w:val="LQN1"/>
    <w:basedOn w:val="Normal"/>
    <w:rsid w:val="0010610C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10610C"/>
    <w:pPr>
      <w:ind w:left="737"/>
    </w:pPr>
  </w:style>
  <w:style w:type="paragraph" w:customStyle="1" w:styleId="LQN2">
    <w:name w:val="LQN2"/>
    <w:basedOn w:val="LQN1"/>
    <w:rsid w:val="0010610C"/>
    <w:pPr>
      <w:spacing w:before="80"/>
    </w:pPr>
  </w:style>
  <w:style w:type="paragraph" w:customStyle="1" w:styleId="LQH3">
    <w:name w:val="LQH3"/>
    <w:basedOn w:val="H3"/>
    <w:next w:val="LQN3"/>
    <w:rsid w:val="0010610C"/>
    <w:pPr>
      <w:ind w:left="907"/>
    </w:pPr>
  </w:style>
  <w:style w:type="paragraph" w:customStyle="1" w:styleId="LQN3">
    <w:name w:val="LQN3"/>
    <w:basedOn w:val="LQN2"/>
    <w:rsid w:val="0010610C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10610C"/>
    <w:pPr>
      <w:ind w:left="1304"/>
    </w:pPr>
  </w:style>
  <w:style w:type="paragraph" w:customStyle="1" w:styleId="LQList1Cont">
    <w:name w:val="LQList1 Cont"/>
    <w:basedOn w:val="List1Cont"/>
    <w:rsid w:val="0010610C"/>
    <w:pPr>
      <w:ind w:left="1304"/>
    </w:pPr>
  </w:style>
  <w:style w:type="paragraph" w:customStyle="1" w:styleId="LQN3-N4">
    <w:name w:val="LQN3-N4"/>
    <w:basedOn w:val="LQN3"/>
    <w:next w:val="LQN4"/>
    <w:rsid w:val="0010610C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10610C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10610C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10610C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10610C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10610C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10610C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10610C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10610C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10610C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10610C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10610C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10610C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10610C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10610C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10610C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10610C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10610C"/>
    <w:pPr>
      <w:ind w:firstLine="170"/>
    </w:pPr>
  </w:style>
  <w:style w:type="paragraph" w:customStyle="1" w:styleId="LQT3">
    <w:name w:val="LQT3"/>
    <w:basedOn w:val="LQT2"/>
    <w:rsid w:val="0010610C"/>
    <w:pPr>
      <w:ind w:left="1304"/>
    </w:pPr>
  </w:style>
  <w:style w:type="paragraph" w:customStyle="1" w:styleId="LQT4">
    <w:name w:val="LQT4"/>
    <w:basedOn w:val="LQT3"/>
    <w:rsid w:val="0010610C"/>
    <w:pPr>
      <w:ind w:left="1701"/>
    </w:pPr>
  </w:style>
  <w:style w:type="paragraph" w:customStyle="1" w:styleId="LQT5">
    <w:name w:val="LQT5"/>
    <w:basedOn w:val="LQT4"/>
    <w:rsid w:val="0010610C"/>
    <w:pPr>
      <w:ind w:left="2268"/>
    </w:pPr>
  </w:style>
  <w:style w:type="paragraph" w:customStyle="1" w:styleId="LQTableCaption">
    <w:name w:val="LQTableCaption"/>
    <w:basedOn w:val="Normal"/>
    <w:next w:val="LQTableTopText"/>
    <w:rsid w:val="0010610C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10610C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10610C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10610C"/>
    <w:pPr>
      <w:spacing w:before="120"/>
    </w:pPr>
  </w:style>
  <w:style w:type="paragraph" w:customStyle="1" w:styleId="LQTOC10">
    <w:name w:val="LQTOC 10"/>
    <w:basedOn w:val="Normal"/>
    <w:rsid w:val="0010610C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10610C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10610C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10610C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10610C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10610C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10610C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10610C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10610C"/>
    <w:pPr>
      <w:numPr>
        <w:ilvl w:val="3"/>
      </w:numPr>
    </w:pPr>
  </w:style>
  <w:style w:type="paragraph" w:customStyle="1" w:styleId="N4-N5">
    <w:name w:val="N4-N5"/>
    <w:basedOn w:val="N4"/>
    <w:next w:val="N5"/>
    <w:rsid w:val="0010610C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10610C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10610C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10610C"/>
    <w:pPr>
      <w:ind w:left="1474"/>
    </w:pPr>
  </w:style>
  <w:style w:type="paragraph" w:customStyle="1" w:styleId="NLQDisplayItem">
    <w:name w:val="NLQDisplayItem"/>
    <w:basedOn w:val="LQDisplayItem"/>
    <w:rsid w:val="0010610C"/>
    <w:pPr>
      <w:ind w:left="1134"/>
    </w:pPr>
  </w:style>
  <w:style w:type="paragraph" w:customStyle="1" w:styleId="NLQH1">
    <w:name w:val="NLQH1"/>
    <w:basedOn w:val="LQH1"/>
    <w:next w:val="NLQN1"/>
    <w:rsid w:val="0010610C"/>
    <w:pPr>
      <w:ind w:left="1134"/>
    </w:pPr>
  </w:style>
  <w:style w:type="paragraph" w:customStyle="1" w:styleId="NLQN1">
    <w:name w:val="NLQN1"/>
    <w:basedOn w:val="LQN1"/>
    <w:rsid w:val="0010610C"/>
    <w:pPr>
      <w:ind w:left="1134"/>
    </w:pPr>
  </w:style>
  <w:style w:type="paragraph" w:customStyle="1" w:styleId="NLQH2">
    <w:name w:val="NLQH2"/>
    <w:basedOn w:val="LQH2"/>
    <w:next w:val="NLQN2"/>
    <w:rsid w:val="0010610C"/>
    <w:pPr>
      <w:ind w:left="1304"/>
    </w:pPr>
  </w:style>
  <w:style w:type="paragraph" w:customStyle="1" w:styleId="NLQN2">
    <w:name w:val="NLQN2"/>
    <w:basedOn w:val="LQN2"/>
    <w:rsid w:val="0010610C"/>
    <w:pPr>
      <w:ind w:left="1134"/>
    </w:pPr>
  </w:style>
  <w:style w:type="paragraph" w:customStyle="1" w:styleId="NLQH3">
    <w:name w:val="NLQH3"/>
    <w:basedOn w:val="LQH3"/>
    <w:next w:val="NLQN3"/>
    <w:rsid w:val="0010610C"/>
    <w:pPr>
      <w:ind w:left="1474"/>
    </w:pPr>
  </w:style>
  <w:style w:type="paragraph" w:customStyle="1" w:styleId="NLQN3">
    <w:name w:val="NLQN3"/>
    <w:basedOn w:val="LQN3"/>
    <w:rsid w:val="0010610C"/>
    <w:pPr>
      <w:ind w:left="1871"/>
    </w:pPr>
  </w:style>
  <w:style w:type="paragraph" w:customStyle="1" w:styleId="NLQList1">
    <w:name w:val="NLQList1"/>
    <w:basedOn w:val="LQList1"/>
    <w:rsid w:val="0010610C"/>
    <w:pPr>
      <w:ind w:left="1871"/>
    </w:pPr>
  </w:style>
  <w:style w:type="paragraph" w:customStyle="1" w:styleId="NLQList1Cont">
    <w:name w:val="NLQList1 Cont"/>
    <w:basedOn w:val="LQList1Cont"/>
    <w:rsid w:val="0010610C"/>
    <w:pPr>
      <w:ind w:left="1871"/>
    </w:pPr>
  </w:style>
  <w:style w:type="paragraph" w:customStyle="1" w:styleId="NLQN3-N4">
    <w:name w:val="NLQN3-N4"/>
    <w:basedOn w:val="NLQN3"/>
    <w:next w:val="NLQN4"/>
    <w:rsid w:val="0010610C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10610C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10610C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10610C"/>
    <w:pPr>
      <w:ind w:left="2835"/>
    </w:pPr>
  </w:style>
  <w:style w:type="paragraph" w:customStyle="1" w:styleId="NLQpart">
    <w:name w:val="NLQpart"/>
    <w:basedOn w:val="LQpart"/>
    <w:next w:val="NLQpartHead"/>
    <w:rsid w:val="0010610C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10610C"/>
    <w:pPr>
      <w:ind w:left="1134"/>
    </w:pPr>
  </w:style>
  <w:style w:type="paragraph" w:customStyle="1" w:styleId="NLQT1">
    <w:name w:val="NLQT1"/>
    <w:basedOn w:val="LQT1"/>
    <w:rsid w:val="0010610C"/>
    <w:pPr>
      <w:ind w:left="1134"/>
    </w:pPr>
  </w:style>
  <w:style w:type="paragraph" w:customStyle="1" w:styleId="NLQschedule">
    <w:name w:val="NLQschedule"/>
    <w:basedOn w:val="LQschedule"/>
    <w:next w:val="NLQscheduleHead"/>
    <w:rsid w:val="0010610C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10610C"/>
    <w:pPr>
      <w:ind w:left="1134"/>
    </w:pPr>
  </w:style>
  <w:style w:type="paragraph" w:customStyle="1" w:styleId="NLQschedules">
    <w:name w:val="NLQschedules"/>
    <w:basedOn w:val="Normal"/>
    <w:rsid w:val="0010610C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10610C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10610C"/>
    <w:pPr>
      <w:ind w:left="1134"/>
    </w:pPr>
  </w:style>
  <w:style w:type="paragraph" w:customStyle="1" w:styleId="NLQSublist1">
    <w:name w:val="NLQSublist1"/>
    <w:basedOn w:val="LQSublist1"/>
    <w:rsid w:val="0010610C"/>
    <w:pPr>
      <w:ind w:left="2308"/>
    </w:pPr>
  </w:style>
  <w:style w:type="paragraph" w:customStyle="1" w:styleId="NLQSublist1Cont">
    <w:name w:val="NLQSublist1 Cont"/>
    <w:basedOn w:val="LQSublist1Cont"/>
    <w:rsid w:val="0010610C"/>
    <w:pPr>
      <w:ind w:left="2308"/>
    </w:pPr>
  </w:style>
  <w:style w:type="paragraph" w:customStyle="1" w:styleId="NLQsubPart">
    <w:name w:val="NLQsubPart"/>
    <w:basedOn w:val="LQsubPart"/>
    <w:next w:val="NLQsubPartHead"/>
    <w:rsid w:val="0010610C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10610C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10610C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10610C"/>
    <w:pPr>
      <w:ind w:left="1134"/>
    </w:pPr>
  </w:style>
  <w:style w:type="paragraph" w:customStyle="1" w:styleId="NLQT1Indent">
    <w:name w:val="NLQT1 Indent"/>
    <w:basedOn w:val="LQT1Indent"/>
    <w:rsid w:val="0010610C"/>
    <w:pPr>
      <w:ind w:left="1134"/>
    </w:pPr>
  </w:style>
  <w:style w:type="paragraph" w:customStyle="1" w:styleId="NLQT2">
    <w:name w:val="NLQT2"/>
    <w:basedOn w:val="LQT2"/>
    <w:rsid w:val="0010610C"/>
    <w:pPr>
      <w:ind w:left="1134"/>
    </w:pPr>
  </w:style>
  <w:style w:type="paragraph" w:customStyle="1" w:styleId="NLQT3">
    <w:name w:val="NLQT3"/>
    <w:basedOn w:val="LQT3"/>
    <w:rsid w:val="0010610C"/>
    <w:pPr>
      <w:ind w:left="1871"/>
    </w:pPr>
  </w:style>
  <w:style w:type="paragraph" w:customStyle="1" w:styleId="NLQT4">
    <w:name w:val="NLQT4"/>
    <w:basedOn w:val="LQT4"/>
    <w:rsid w:val="0010610C"/>
    <w:pPr>
      <w:ind w:left="2268"/>
    </w:pPr>
  </w:style>
  <w:style w:type="paragraph" w:customStyle="1" w:styleId="NLQT5">
    <w:name w:val="NLQT5"/>
    <w:basedOn w:val="LQT5"/>
    <w:rsid w:val="0010610C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10610C"/>
    <w:pPr>
      <w:ind w:left="1134"/>
    </w:pPr>
  </w:style>
  <w:style w:type="paragraph" w:customStyle="1" w:styleId="NLQTableTopText">
    <w:name w:val="NLQTableTopText"/>
    <w:basedOn w:val="LQTableTopText"/>
    <w:rsid w:val="0010610C"/>
    <w:pPr>
      <w:ind w:left="1134"/>
    </w:pPr>
  </w:style>
  <w:style w:type="paragraph" w:customStyle="1" w:styleId="NLQTableFoot">
    <w:name w:val="NLQTableFoot"/>
    <w:basedOn w:val="LQTableFoot"/>
    <w:rsid w:val="0010610C"/>
    <w:pPr>
      <w:ind w:left="1134"/>
    </w:pPr>
  </w:style>
  <w:style w:type="paragraph" w:customStyle="1" w:styleId="NLQTableNumber">
    <w:name w:val="NLQTableNumber"/>
    <w:basedOn w:val="LQTableNumber"/>
    <w:rsid w:val="0010610C"/>
    <w:pPr>
      <w:ind w:left="1134"/>
    </w:pPr>
  </w:style>
  <w:style w:type="character" w:styleId="PageNumber">
    <w:name w:val="page number"/>
    <w:rsid w:val="0010610C"/>
  </w:style>
  <w:style w:type="paragraph" w:customStyle="1" w:styleId="Part">
    <w:name w:val="Part"/>
    <w:basedOn w:val="Normal"/>
    <w:next w:val="PartHead"/>
    <w:rsid w:val="0010610C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10610C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10610C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10610C"/>
    <w:rPr>
      <w:sz w:val="21"/>
    </w:rPr>
  </w:style>
  <w:style w:type="paragraph" w:customStyle="1" w:styleId="Res">
    <w:name w:val="Res"/>
    <w:basedOn w:val="Pre"/>
    <w:next w:val="Pre"/>
    <w:rsid w:val="0010610C"/>
    <w:rPr>
      <w:b/>
    </w:rPr>
  </w:style>
  <w:style w:type="paragraph" w:customStyle="1" w:styleId="Royal">
    <w:name w:val="Royal"/>
    <w:basedOn w:val="Normal"/>
    <w:next w:val="Pre"/>
    <w:rsid w:val="0010610C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10610C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10610C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10610C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10610C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10610C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rsid w:val="0010610C"/>
  </w:style>
  <w:style w:type="character" w:customStyle="1" w:styleId="SigDate">
    <w:name w:val="Sig_Date"/>
    <w:rsid w:val="0010610C"/>
  </w:style>
  <w:style w:type="character" w:customStyle="1" w:styleId="Sigsignatory">
    <w:name w:val="Sig_signatory"/>
    <w:rsid w:val="0010610C"/>
  </w:style>
  <w:style w:type="character" w:customStyle="1" w:styleId="SigSignee">
    <w:name w:val="Sig_Signee"/>
    <w:rsid w:val="0010610C"/>
    <w:rPr>
      <w:i/>
    </w:rPr>
  </w:style>
  <w:style w:type="character" w:customStyle="1" w:styleId="Sigtitle">
    <w:name w:val="Sig_title"/>
    <w:rsid w:val="0010610C"/>
  </w:style>
  <w:style w:type="paragraph" w:customStyle="1" w:styleId="SigBlock">
    <w:name w:val="SigBlock"/>
    <w:basedOn w:val="Normal"/>
    <w:rsid w:val="0010610C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10610C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10610C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10610C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10610C"/>
    <w:pPr>
      <w:ind w:left="1134"/>
    </w:pPr>
  </w:style>
  <w:style w:type="paragraph" w:customStyle="1" w:styleId="Sublist1Cont">
    <w:name w:val="Sublist1 Cont"/>
    <w:basedOn w:val="Sublist1"/>
    <w:rsid w:val="0010610C"/>
    <w:pPr>
      <w:ind w:firstLine="0"/>
    </w:pPr>
  </w:style>
  <w:style w:type="paragraph" w:customStyle="1" w:styleId="SubPart">
    <w:name w:val="SubPart"/>
    <w:basedOn w:val="PartHead"/>
    <w:next w:val="SubPartHead"/>
    <w:rsid w:val="0010610C"/>
    <w:rPr>
      <w:sz w:val="22"/>
    </w:rPr>
  </w:style>
  <w:style w:type="paragraph" w:customStyle="1" w:styleId="SubPartHead">
    <w:name w:val="SubPartHead"/>
    <w:basedOn w:val="SubPart"/>
    <w:next w:val="T1"/>
    <w:rsid w:val="0010610C"/>
    <w:rPr>
      <w:sz w:val="21"/>
    </w:rPr>
  </w:style>
  <w:style w:type="paragraph" w:customStyle="1" w:styleId="SubSection">
    <w:name w:val="SubSection"/>
    <w:basedOn w:val="Section"/>
    <w:next w:val="SubSectionHead"/>
    <w:rsid w:val="0010610C"/>
    <w:rPr>
      <w:sz w:val="18"/>
    </w:rPr>
  </w:style>
  <w:style w:type="paragraph" w:customStyle="1" w:styleId="SubSectionHead">
    <w:name w:val="SubSectionHead"/>
    <w:basedOn w:val="SectionHead"/>
    <w:next w:val="T1"/>
    <w:rsid w:val="0010610C"/>
    <w:pPr>
      <w:spacing w:before="40"/>
    </w:pPr>
    <w:rPr>
      <w:sz w:val="20"/>
    </w:rPr>
  </w:style>
  <w:style w:type="paragraph" w:customStyle="1" w:styleId="T1Indent">
    <w:name w:val="T1 Indent"/>
    <w:basedOn w:val="T1"/>
    <w:rsid w:val="0010610C"/>
    <w:pPr>
      <w:ind w:firstLine="170"/>
    </w:pPr>
  </w:style>
  <w:style w:type="paragraph" w:customStyle="1" w:styleId="T2">
    <w:name w:val="T2"/>
    <w:basedOn w:val="T1"/>
    <w:rsid w:val="0010610C"/>
    <w:pPr>
      <w:spacing w:before="80"/>
    </w:pPr>
  </w:style>
  <w:style w:type="paragraph" w:customStyle="1" w:styleId="T3">
    <w:name w:val="T3"/>
    <w:basedOn w:val="T2"/>
    <w:rsid w:val="0010610C"/>
    <w:pPr>
      <w:ind w:left="737"/>
    </w:pPr>
  </w:style>
  <w:style w:type="paragraph" w:customStyle="1" w:styleId="T4">
    <w:name w:val="T4"/>
    <w:basedOn w:val="T3"/>
    <w:rsid w:val="0010610C"/>
    <w:pPr>
      <w:ind w:left="1134"/>
    </w:pPr>
  </w:style>
  <w:style w:type="paragraph" w:customStyle="1" w:styleId="T5">
    <w:name w:val="T5"/>
    <w:basedOn w:val="T4"/>
    <w:rsid w:val="0010610C"/>
    <w:pPr>
      <w:ind w:left="1701"/>
    </w:pPr>
  </w:style>
  <w:style w:type="paragraph" w:customStyle="1" w:styleId="TableCaption">
    <w:name w:val="TableCaption"/>
    <w:basedOn w:val="Caption"/>
    <w:next w:val="TableTopText"/>
    <w:rsid w:val="0010610C"/>
    <w:pPr>
      <w:spacing w:before="0"/>
      <w:jc w:val="left"/>
    </w:pPr>
  </w:style>
  <w:style w:type="paragraph" w:customStyle="1" w:styleId="TableTopText">
    <w:name w:val="TableTopText"/>
    <w:basedOn w:val="Normal"/>
    <w:rsid w:val="0010610C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10610C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10610C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10610C"/>
    <w:pPr>
      <w:spacing w:before="120"/>
    </w:pPr>
  </w:style>
  <w:style w:type="paragraph" w:customStyle="1" w:styleId="TableText">
    <w:name w:val="TableText"/>
    <w:basedOn w:val="Normal"/>
    <w:rsid w:val="0010610C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10610C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10C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10610C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10610C"/>
  </w:style>
  <w:style w:type="paragraph" w:customStyle="1" w:styleId="TOC12">
    <w:name w:val="TOC 12"/>
    <w:next w:val="TOC10"/>
    <w:rsid w:val="0010610C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10610C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10610C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10610C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10610C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10610C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10610C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10610C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10610C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10610C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10610C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10610C"/>
    <w:pPr>
      <w:spacing w:line="220" w:lineRule="atLeast"/>
      <w:jc w:val="both"/>
    </w:pPr>
    <w:rPr>
      <w:sz w:val="16"/>
    </w:rPr>
  </w:style>
  <w:style w:type="character" w:styleId="Hyperlink">
    <w:name w:val="Hyperlink"/>
    <w:rsid w:val="0010610C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0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10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old1">
    <w:name w:val="bold1"/>
    <w:rsid w:val="0010610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061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0610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10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610C"/>
    <w:pPr>
      <w:ind w:left="720"/>
    </w:pPr>
  </w:style>
  <w:style w:type="character" w:styleId="Emphasis">
    <w:name w:val="Emphasis"/>
    <w:qFormat/>
    <w:rsid w:val="0010610C"/>
    <w:rPr>
      <w:i/>
      <w:iCs/>
    </w:rPr>
  </w:style>
  <w:style w:type="paragraph" w:customStyle="1" w:styleId="FormSubHeadingBefore6pt">
    <w:name w:val="FormSubHeading + Before:  6 pt"/>
    <w:aliases w:val="After:  6 pt,Line spacing:  At least 11 pt"/>
    <w:basedOn w:val="FormSubHeading"/>
    <w:rsid w:val="0010610C"/>
    <w:pPr>
      <w:spacing w:before="120" w:after="120" w:line="220" w:lineRule="atLeast"/>
    </w:pPr>
    <w:rPr>
      <w:szCs w:val="24"/>
    </w:rPr>
  </w:style>
  <w:style w:type="paragraph" w:customStyle="1" w:styleId="reft">
    <w:name w:val="reft"/>
    <w:basedOn w:val="H3"/>
    <w:rsid w:val="0010610C"/>
    <w:pPr>
      <w:pageBreakBefore/>
      <w:jc w:val="right"/>
    </w:pPr>
  </w:style>
  <w:style w:type="paragraph" w:styleId="NormalWeb">
    <w:name w:val="Normal (Web)"/>
    <w:basedOn w:val="Normal"/>
    <w:uiPriority w:val="99"/>
    <w:unhideWhenUsed/>
    <w:rsid w:val="0010610C"/>
    <w:pPr>
      <w:spacing w:before="100" w:beforeAutospacing="1" w:after="100" w:afterAutospacing="1"/>
    </w:pPr>
  </w:style>
  <w:style w:type="paragraph" w:customStyle="1" w:styleId="PartLeft">
    <w:name w:val="Part + Left"/>
    <w:basedOn w:val="T1"/>
    <w:rsid w:val="0010610C"/>
    <w:pPr>
      <w:tabs>
        <w:tab w:val="center" w:pos="2324"/>
        <w:tab w:val="right" w:pos="4649"/>
      </w:tabs>
      <w:jc w:val="left"/>
    </w:pPr>
  </w:style>
  <w:style w:type="paragraph" w:customStyle="1" w:styleId="lienspa">
    <w:name w:val="lienspa"/>
    <w:basedOn w:val="PartHead"/>
    <w:rsid w:val="0010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2798267db4734a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A39213534</value>
    </field>
    <field name="Objective-Title">
      <value order="0">RHW25 - notice of termination under landlord's break clause - fixed term standard contract with two month minimum notice period - welsh</value>
    </field>
    <field name="Objective-Description">
      <value order="0"/>
    </field>
    <field name="Objective-CreationStamp">
      <value order="0">2022-03-08T10:54:31Z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2022-03-08T10:55:04Z</value>
    </field>
    <field name="Objective-ModificationStamp">
      <value order="0">2022-03-08T10:55:04Z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vA75918606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2022-03-08T10:54:00Z</dcterms:created>
  <dcterms:modified xsi:type="dcterms:W3CDTF">2022-03-08T10:54:00Z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A39213534</vt:lpwstr>
  </property>
  <property fmtid="{D5CDD505-2E9C-101B-9397-08002B2CF9AE}" pid="4" name="Objective-Title">
    <vt:lpwstr>RHW25 - notice of termination under landlord's break clause - fixed term standard contract with two month minimum notice period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2022-03-08T10:54:37Z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2022-03-08T10:55:04Z</vt:filetime>
  </property>
  <property fmtid="{D5CDD505-2E9C-101B-9397-08002B2CF9AE}" pid="10" name="Objective-ModificationStamp">
    <vt:filetime>2022-03-08T10:55:04Z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vA75918606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