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1D1A" w14:textId="77777777" w:rsidR="00AB10B4" w:rsidRPr="00606790" w:rsidRDefault="000F15C4" w:rsidP="00B87C4F">
      <w:pPr>
        <w:jc w:val="center"/>
        <w:rPr>
          <w:rFonts w:ascii="Arial" w:hAnsi="Arial" w:cs="Arial"/>
          <w:b/>
          <w:sz w:val="44"/>
          <w:szCs w:val="44"/>
        </w:rPr>
      </w:pPr>
      <w:r w:rsidRPr="00606790">
        <w:rPr>
          <w:rFonts w:ascii="Arial" w:hAnsi="Arial" w:cs="Arial"/>
          <w:b/>
          <w:sz w:val="44"/>
          <w:szCs w:val="44"/>
        </w:rPr>
        <w:t>Additional Capacity</w:t>
      </w:r>
    </w:p>
    <w:p w14:paraId="170B4FEE" w14:textId="77777777" w:rsidR="000F15C4" w:rsidRPr="00606790" w:rsidRDefault="00B87C4F" w:rsidP="00B87C4F">
      <w:pPr>
        <w:jc w:val="center"/>
        <w:rPr>
          <w:rFonts w:ascii="Arial" w:hAnsi="Arial" w:cs="Arial"/>
          <w:b/>
          <w:sz w:val="44"/>
          <w:szCs w:val="44"/>
        </w:rPr>
      </w:pPr>
      <w:r w:rsidRPr="00606790">
        <w:rPr>
          <w:rFonts w:ascii="Arial" w:hAnsi="Arial" w:cs="Arial"/>
          <w:b/>
          <w:sz w:val="44"/>
          <w:szCs w:val="44"/>
        </w:rPr>
        <w:t xml:space="preserve">2022/23 </w:t>
      </w:r>
      <w:r w:rsidR="000F15C4" w:rsidRPr="00606790">
        <w:rPr>
          <w:rFonts w:ascii="Arial" w:hAnsi="Arial" w:cs="Arial"/>
          <w:b/>
          <w:sz w:val="44"/>
          <w:szCs w:val="44"/>
        </w:rPr>
        <w:t>Guidance</w:t>
      </w:r>
    </w:p>
    <w:p w14:paraId="28061D00" w14:textId="77777777" w:rsidR="00805C11" w:rsidRDefault="00805C11" w:rsidP="00805C11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Background</w:t>
      </w:r>
    </w:p>
    <w:p w14:paraId="0D93640B" w14:textId="77777777" w:rsidR="00EC54E8" w:rsidRPr="00995DA7" w:rsidRDefault="00995DA7" w:rsidP="00995DA7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financial year, £2m was made available to support additional capacity within GMS over the winter period. The funds were allocated to Health Boards to enable 100% reimbursement of the total costs</w:t>
      </w:r>
      <w:r w:rsidR="00EC54E8" w:rsidRPr="00BB520C">
        <w:rPr>
          <w:rFonts w:ascii="Arial" w:hAnsi="Arial" w:cs="Arial"/>
          <w:sz w:val="24"/>
          <w:szCs w:val="24"/>
        </w:rPr>
        <w:t xml:space="preserve"> </w:t>
      </w:r>
      <w:r w:rsidR="00EC54E8">
        <w:rPr>
          <w:rFonts w:ascii="Arial" w:hAnsi="Arial" w:cs="Arial"/>
          <w:sz w:val="24"/>
          <w:szCs w:val="24"/>
        </w:rPr>
        <w:t xml:space="preserve">(salary / sessional fee &amp; on-costs) </w:t>
      </w:r>
      <w:r w:rsidR="00EC54E8" w:rsidRPr="00BB520C">
        <w:rPr>
          <w:rFonts w:ascii="Arial" w:hAnsi="Arial" w:cs="Arial"/>
          <w:sz w:val="24"/>
          <w:szCs w:val="24"/>
        </w:rPr>
        <w:t xml:space="preserve">of either additional posts upon appointment or additional hours worked by existing post holders. </w:t>
      </w:r>
    </w:p>
    <w:p w14:paraId="6A71A1B5" w14:textId="77777777" w:rsidR="00B87C4F" w:rsidRPr="00B87C4F" w:rsidRDefault="00B87C4F">
      <w:pPr>
        <w:rPr>
          <w:rFonts w:ascii="Arial" w:hAnsi="Arial" w:cs="Arial"/>
          <w:b/>
          <w:sz w:val="16"/>
          <w:szCs w:val="16"/>
        </w:rPr>
      </w:pPr>
    </w:p>
    <w:p w14:paraId="245580EF" w14:textId="77777777" w:rsidR="00C237CD" w:rsidRDefault="00F529A9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2022/23 Scheme</w:t>
      </w:r>
    </w:p>
    <w:p w14:paraId="7F40250A" w14:textId="77777777" w:rsidR="00F529A9" w:rsidRDefault="00F529A9" w:rsidP="00F529A9">
      <w:pPr>
        <w:pStyle w:val="NoSpacing"/>
        <w:rPr>
          <w:rFonts w:ascii="Arial" w:hAnsi="Arial" w:cs="Arial"/>
          <w:sz w:val="24"/>
          <w:szCs w:val="24"/>
        </w:rPr>
      </w:pPr>
      <w:r w:rsidRPr="00BB520C">
        <w:rPr>
          <w:rFonts w:ascii="Arial" w:hAnsi="Arial" w:cs="Arial"/>
          <w:sz w:val="24"/>
          <w:szCs w:val="24"/>
        </w:rPr>
        <w:t xml:space="preserve">From 1 April 2022, capacity funding of £4m will be made available recurrently for three years, accessible to practices via Health Boards. </w:t>
      </w:r>
    </w:p>
    <w:p w14:paraId="5AD9F721" w14:textId="77777777" w:rsidR="00F529A9" w:rsidRPr="00BB520C" w:rsidRDefault="00F529A9" w:rsidP="00F529A9">
      <w:pPr>
        <w:pStyle w:val="NoSpacing"/>
        <w:rPr>
          <w:rFonts w:ascii="Arial" w:hAnsi="Arial" w:cs="Arial"/>
          <w:sz w:val="24"/>
          <w:szCs w:val="24"/>
        </w:rPr>
      </w:pPr>
    </w:p>
    <w:p w14:paraId="76EA889F" w14:textId="77777777" w:rsidR="00F529A9" w:rsidRDefault="00F529A9" w:rsidP="00F529A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20C">
        <w:rPr>
          <w:rFonts w:ascii="Arial" w:hAnsi="Arial" w:cs="Arial"/>
          <w:sz w:val="24"/>
          <w:szCs w:val="24"/>
        </w:rPr>
        <w:t>This scheme from April 2022, will facilitate match funding of up to 50% of the cost of either additional posts upon appointment</w:t>
      </w:r>
      <w:r>
        <w:rPr>
          <w:rFonts w:ascii="Arial" w:hAnsi="Arial" w:cs="Arial"/>
          <w:sz w:val="24"/>
          <w:szCs w:val="24"/>
        </w:rPr>
        <w:t xml:space="preserve"> (including those in post from December 2021 under the 2021/22 scheme)</w:t>
      </w:r>
      <w:r w:rsidRPr="00BB520C">
        <w:rPr>
          <w:rFonts w:ascii="Arial" w:hAnsi="Arial" w:cs="Arial"/>
          <w:sz w:val="24"/>
          <w:szCs w:val="24"/>
        </w:rPr>
        <w:t xml:space="preserve"> or additional hours worked by existing post-holders, enabling GP practices to take on additional administrative and clinical resourc</w:t>
      </w:r>
      <w:r>
        <w:rPr>
          <w:rFonts w:ascii="Arial" w:hAnsi="Arial" w:cs="Arial"/>
          <w:sz w:val="24"/>
          <w:szCs w:val="24"/>
        </w:rPr>
        <w:t>e.</w:t>
      </w:r>
    </w:p>
    <w:p w14:paraId="1E884196" w14:textId="77777777" w:rsidR="007B75BB" w:rsidRDefault="007B75BB" w:rsidP="00F529A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money will be available to </w:t>
      </w:r>
      <w:r w:rsidRPr="007B75BB">
        <w:rPr>
          <w:rFonts w:ascii="Arial" w:hAnsi="Arial" w:cs="Arial"/>
          <w:b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practices based on evidence of additional hours worked at the practice.</w:t>
      </w:r>
    </w:p>
    <w:p w14:paraId="6C48DADA" w14:textId="77777777" w:rsidR="007B75BB" w:rsidRDefault="007B75BB" w:rsidP="00F529A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 pre-determined staffing ratios or other eligibility criteria</w:t>
      </w:r>
    </w:p>
    <w:p w14:paraId="4200C259" w14:textId="77777777" w:rsidR="00F529A9" w:rsidRPr="00BB520C" w:rsidRDefault="00F529A9" w:rsidP="00F529A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22CB290" w14:textId="77777777" w:rsidR="00D80BFE" w:rsidRDefault="00D80BFE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Eligibility</w:t>
      </w:r>
      <w:r w:rsidR="00B87C4F">
        <w:rPr>
          <w:rFonts w:ascii="Arial" w:hAnsi="Arial" w:cs="Arial"/>
          <w:b/>
          <w:sz w:val="28"/>
          <w:szCs w:val="24"/>
        </w:rPr>
        <w:t xml:space="preserve"> and process</w:t>
      </w:r>
    </w:p>
    <w:p w14:paraId="77CB1D2B" w14:textId="77777777" w:rsidR="00D779B6" w:rsidRPr="00786549" w:rsidRDefault="00266CF2" w:rsidP="00786549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6" w:hanging="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WNWRS will be utilised to evidence </w:t>
      </w:r>
      <w:r w:rsidR="00EE4AC2">
        <w:rPr>
          <w:rFonts w:ascii="Arial" w:eastAsia="Arial" w:hAnsi="Arial" w:cs="Arial"/>
          <w:sz w:val="24"/>
          <w:szCs w:val="24"/>
        </w:rPr>
        <w:t>the baseline</w:t>
      </w:r>
      <w:r w:rsidR="00D779B6" w:rsidRPr="00786549">
        <w:rPr>
          <w:rFonts w:ascii="Arial" w:eastAsia="Arial" w:hAnsi="Arial" w:cs="Arial"/>
          <w:sz w:val="24"/>
          <w:szCs w:val="24"/>
        </w:rPr>
        <w:t xml:space="preserve"> of workforce via clinical sessions, admin support or a mixed economy of both</w:t>
      </w:r>
    </w:p>
    <w:p w14:paraId="462AF92D" w14:textId="77777777" w:rsidR="00B87C4F" w:rsidRPr="00786549" w:rsidRDefault="00D779B6" w:rsidP="00786549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6" w:hanging="207"/>
        <w:jc w:val="both"/>
        <w:rPr>
          <w:rFonts w:ascii="Arial" w:eastAsia="Arial" w:hAnsi="Arial" w:cs="Arial"/>
          <w:sz w:val="24"/>
          <w:szCs w:val="24"/>
        </w:rPr>
      </w:pPr>
      <w:r w:rsidRPr="00786549">
        <w:rPr>
          <w:rFonts w:ascii="Arial" w:eastAsia="Arial" w:hAnsi="Arial" w:cs="Arial"/>
          <w:sz w:val="24"/>
          <w:szCs w:val="24"/>
        </w:rPr>
        <w:t xml:space="preserve">Additionality </w:t>
      </w:r>
      <w:r w:rsidR="00786549">
        <w:rPr>
          <w:rFonts w:ascii="Arial" w:eastAsia="Arial" w:hAnsi="Arial" w:cs="Arial"/>
          <w:sz w:val="24"/>
          <w:szCs w:val="24"/>
        </w:rPr>
        <w:t xml:space="preserve">will be </w:t>
      </w:r>
      <w:r w:rsidRPr="00786549">
        <w:rPr>
          <w:rFonts w:ascii="Arial" w:eastAsia="Arial" w:hAnsi="Arial" w:cs="Arial"/>
          <w:sz w:val="24"/>
          <w:szCs w:val="24"/>
        </w:rPr>
        <w:t>defined by the established core sessions</w:t>
      </w:r>
      <w:r w:rsidR="00EE4AC2">
        <w:rPr>
          <w:rFonts w:ascii="Arial" w:eastAsia="Arial" w:hAnsi="Arial" w:cs="Arial"/>
          <w:sz w:val="24"/>
          <w:szCs w:val="24"/>
        </w:rPr>
        <w:t xml:space="preserve"> / hours</w:t>
      </w:r>
      <w:r w:rsidRPr="00786549">
        <w:rPr>
          <w:rFonts w:ascii="Arial" w:eastAsia="Arial" w:hAnsi="Arial" w:cs="Arial"/>
          <w:sz w:val="24"/>
          <w:szCs w:val="24"/>
        </w:rPr>
        <w:t xml:space="preserve"> provided on WN</w:t>
      </w:r>
      <w:r w:rsidR="00786549">
        <w:rPr>
          <w:rFonts w:ascii="Arial" w:eastAsia="Arial" w:hAnsi="Arial" w:cs="Arial"/>
          <w:sz w:val="24"/>
          <w:szCs w:val="24"/>
        </w:rPr>
        <w:t>W</w:t>
      </w:r>
      <w:r w:rsidRPr="00786549">
        <w:rPr>
          <w:rFonts w:ascii="Arial" w:eastAsia="Arial" w:hAnsi="Arial" w:cs="Arial"/>
          <w:sz w:val="24"/>
          <w:szCs w:val="24"/>
        </w:rPr>
        <w:t xml:space="preserve">RS </w:t>
      </w:r>
      <w:r w:rsidR="00786549">
        <w:rPr>
          <w:rFonts w:ascii="Arial" w:eastAsia="Arial" w:hAnsi="Arial" w:cs="Arial"/>
          <w:sz w:val="24"/>
          <w:szCs w:val="24"/>
        </w:rPr>
        <w:t>at the beginning of the quarter.</w:t>
      </w:r>
    </w:p>
    <w:p w14:paraId="79A6053E" w14:textId="77777777" w:rsidR="00EE4AC2" w:rsidRDefault="00EE4AC2" w:rsidP="00786549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6" w:hanging="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Practices should continue with existing arrangements for</w:t>
      </w:r>
      <w:r w:rsidR="00B87C4F" w:rsidRPr="00786549">
        <w:rPr>
          <w:rFonts w:ascii="Arial" w:eastAsia="Arial" w:hAnsi="Arial" w:cs="Arial"/>
          <w:sz w:val="24"/>
          <w:szCs w:val="24"/>
        </w:rPr>
        <w:t xml:space="preserve"> cover for annual leave</w:t>
      </w:r>
      <w:r>
        <w:rPr>
          <w:rFonts w:ascii="Arial" w:eastAsia="Arial" w:hAnsi="Arial" w:cs="Arial"/>
          <w:sz w:val="24"/>
          <w:szCs w:val="24"/>
        </w:rPr>
        <w:t xml:space="preserve">.  This scheme does not permit practices to agree additional annual leave for staff or partners and </w:t>
      </w:r>
      <w:r w:rsidR="002B0CB3">
        <w:rPr>
          <w:rFonts w:ascii="Arial" w:eastAsia="Arial" w:hAnsi="Arial" w:cs="Arial"/>
          <w:sz w:val="24"/>
          <w:szCs w:val="24"/>
        </w:rPr>
        <w:t>then</w:t>
      </w:r>
      <w:r>
        <w:rPr>
          <w:rFonts w:ascii="Arial" w:eastAsia="Arial" w:hAnsi="Arial" w:cs="Arial"/>
          <w:sz w:val="24"/>
          <w:szCs w:val="24"/>
        </w:rPr>
        <w:t xml:space="preserve"> claim cover for those sessions / hours.</w:t>
      </w:r>
      <w:r w:rsidR="00B87C4F" w:rsidRPr="00786549">
        <w:rPr>
          <w:rFonts w:ascii="Arial" w:eastAsia="Arial" w:hAnsi="Arial" w:cs="Arial"/>
          <w:sz w:val="24"/>
          <w:szCs w:val="24"/>
        </w:rPr>
        <w:t xml:space="preserve"> </w:t>
      </w:r>
    </w:p>
    <w:p w14:paraId="712409D1" w14:textId="77777777" w:rsidR="00D779B6" w:rsidRPr="00786549" w:rsidRDefault="00EE4AC2" w:rsidP="00786549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6" w:hanging="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Cover for </w:t>
      </w:r>
      <w:r w:rsidR="00B87C4F" w:rsidRPr="00786549">
        <w:rPr>
          <w:rFonts w:ascii="Arial" w:eastAsia="Arial" w:hAnsi="Arial" w:cs="Arial"/>
          <w:sz w:val="24"/>
          <w:szCs w:val="24"/>
        </w:rPr>
        <w:t xml:space="preserve">sickness or other parental leave </w:t>
      </w:r>
      <w:r>
        <w:rPr>
          <w:rFonts w:ascii="Arial" w:eastAsia="Arial" w:hAnsi="Arial" w:cs="Arial"/>
          <w:sz w:val="24"/>
          <w:szCs w:val="24"/>
        </w:rPr>
        <w:t>should not be claimed through this scheme as they</w:t>
      </w:r>
      <w:r w:rsidR="00B87C4F" w:rsidRPr="00786549">
        <w:rPr>
          <w:rFonts w:ascii="Arial" w:eastAsia="Arial" w:hAnsi="Arial" w:cs="Arial"/>
          <w:sz w:val="24"/>
          <w:szCs w:val="24"/>
        </w:rPr>
        <w:t xml:space="preserve"> can be claimed through other processes.</w:t>
      </w:r>
    </w:p>
    <w:p w14:paraId="0E997F28" w14:textId="77777777" w:rsidR="00D779B6" w:rsidRPr="00786549" w:rsidRDefault="00D779B6" w:rsidP="00786549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6" w:hanging="207"/>
        <w:jc w:val="both"/>
        <w:rPr>
          <w:rFonts w:ascii="Arial" w:eastAsia="Arial" w:hAnsi="Arial" w:cs="Arial"/>
          <w:sz w:val="24"/>
          <w:szCs w:val="24"/>
        </w:rPr>
      </w:pPr>
      <w:r w:rsidRPr="00786549">
        <w:rPr>
          <w:rFonts w:ascii="Arial" w:eastAsia="Arial" w:hAnsi="Arial" w:cs="Arial"/>
          <w:sz w:val="24"/>
          <w:szCs w:val="24"/>
        </w:rPr>
        <w:t xml:space="preserve">Practices will be provided with an indicative </w:t>
      </w:r>
      <w:r w:rsidR="002B0CB3">
        <w:rPr>
          <w:rFonts w:ascii="Arial" w:eastAsia="Arial" w:hAnsi="Arial" w:cs="Arial"/>
          <w:sz w:val="24"/>
          <w:szCs w:val="24"/>
        </w:rPr>
        <w:t>allocation</w:t>
      </w:r>
      <w:r w:rsidRPr="00786549">
        <w:rPr>
          <w:rFonts w:ascii="Arial" w:eastAsia="Arial" w:hAnsi="Arial" w:cs="Arial"/>
          <w:sz w:val="24"/>
          <w:szCs w:val="24"/>
        </w:rPr>
        <w:t xml:space="preserve"> - pro rata </w:t>
      </w:r>
      <w:r w:rsidR="00EE4AC2">
        <w:rPr>
          <w:rFonts w:ascii="Arial" w:eastAsia="Arial" w:hAnsi="Arial" w:cs="Arial"/>
          <w:sz w:val="24"/>
          <w:szCs w:val="24"/>
        </w:rPr>
        <w:t xml:space="preserve">according to list size </w:t>
      </w:r>
      <w:r w:rsidRPr="00786549">
        <w:rPr>
          <w:rFonts w:ascii="Arial" w:eastAsia="Arial" w:hAnsi="Arial" w:cs="Arial"/>
          <w:sz w:val="24"/>
          <w:szCs w:val="24"/>
        </w:rPr>
        <w:t>per practice</w:t>
      </w:r>
      <w:r w:rsidR="00EE4AC2">
        <w:rPr>
          <w:rFonts w:ascii="Arial" w:eastAsia="Arial" w:hAnsi="Arial" w:cs="Arial"/>
          <w:sz w:val="24"/>
          <w:szCs w:val="24"/>
        </w:rPr>
        <w:t xml:space="preserve"> per HB</w:t>
      </w:r>
    </w:p>
    <w:p w14:paraId="31AFC81F" w14:textId="77777777" w:rsidR="00D779B6" w:rsidRPr="00786549" w:rsidRDefault="00D779B6" w:rsidP="00786549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6" w:hanging="207"/>
        <w:jc w:val="both"/>
        <w:rPr>
          <w:rFonts w:ascii="Arial" w:eastAsia="Arial" w:hAnsi="Arial" w:cs="Arial"/>
          <w:sz w:val="24"/>
          <w:szCs w:val="24"/>
        </w:rPr>
      </w:pPr>
      <w:r w:rsidRPr="00786549">
        <w:rPr>
          <w:rFonts w:ascii="Arial" w:eastAsia="Arial" w:hAnsi="Arial" w:cs="Arial"/>
          <w:sz w:val="24"/>
          <w:szCs w:val="24"/>
        </w:rPr>
        <w:t>Practices to provide HB with a simple indicative narrative proposal statement as to how they intend to use their quantum</w:t>
      </w:r>
    </w:p>
    <w:p w14:paraId="3F9D15A5" w14:textId="77777777" w:rsidR="00B87C4F" w:rsidRPr="00786549" w:rsidRDefault="00D779B6" w:rsidP="00786549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6" w:hanging="207"/>
        <w:jc w:val="both"/>
        <w:rPr>
          <w:rFonts w:ascii="Arial" w:eastAsia="Arial" w:hAnsi="Arial" w:cs="Arial"/>
          <w:sz w:val="24"/>
          <w:szCs w:val="24"/>
        </w:rPr>
      </w:pPr>
      <w:r w:rsidRPr="00786549">
        <w:rPr>
          <w:rFonts w:ascii="Arial" w:eastAsia="Arial" w:hAnsi="Arial" w:cs="Arial"/>
          <w:sz w:val="24"/>
          <w:szCs w:val="24"/>
        </w:rPr>
        <w:t xml:space="preserve">A claims process for retrospective </w:t>
      </w:r>
      <w:r w:rsidR="00B87C4F" w:rsidRPr="00786549">
        <w:rPr>
          <w:rFonts w:ascii="Arial" w:eastAsia="Arial" w:hAnsi="Arial" w:cs="Arial"/>
          <w:sz w:val="24"/>
          <w:szCs w:val="24"/>
        </w:rPr>
        <w:t>reimbursement,</w:t>
      </w:r>
      <w:r w:rsidRPr="00786549">
        <w:rPr>
          <w:rFonts w:ascii="Arial" w:eastAsia="Arial" w:hAnsi="Arial" w:cs="Arial"/>
          <w:sz w:val="24"/>
          <w:szCs w:val="24"/>
        </w:rPr>
        <w:t xml:space="preserve"> which would require receipt or evidence of payment (50% reimbursement)</w:t>
      </w:r>
    </w:p>
    <w:p w14:paraId="08542041" w14:textId="77777777" w:rsidR="00D779B6" w:rsidRPr="00786549" w:rsidRDefault="00B87C4F" w:rsidP="00786549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6" w:hanging="207"/>
        <w:jc w:val="both"/>
        <w:rPr>
          <w:rFonts w:ascii="Arial" w:eastAsia="Arial" w:hAnsi="Arial" w:cs="Arial"/>
          <w:sz w:val="24"/>
          <w:szCs w:val="24"/>
        </w:rPr>
      </w:pPr>
      <w:r w:rsidRPr="00786549">
        <w:rPr>
          <w:rFonts w:ascii="Arial" w:eastAsia="Arial" w:hAnsi="Arial" w:cs="Arial"/>
          <w:sz w:val="24"/>
          <w:szCs w:val="24"/>
        </w:rPr>
        <w:t>A</w:t>
      </w:r>
      <w:r w:rsidR="00D779B6" w:rsidRPr="00786549">
        <w:rPr>
          <w:rFonts w:ascii="Arial" w:eastAsia="Arial" w:hAnsi="Arial" w:cs="Arial"/>
          <w:sz w:val="24"/>
          <w:szCs w:val="24"/>
        </w:rPr>
        <w:t xml:space="preserve"> mechanism for recycling unallocated funds to practices</w:t>
      </w:r>
      <w:r w:rsidRPr="00786549">
        <w:rPr>
          <w:rFonts w:ascii="Arial" w:eastAsia="Arial" w:hAnsi="Arial" w:cs="Arial"/>
          <w:sz w:val="24"/>
          <w:szCs w:val="24"/>
        </w:rPr>
        <w:t xml:space="preserve"> will be established, which will </w:t>
      </w:r>
      <w:r w:rsidR="00D779B6" w:rsidRPr="00786549">
        <w:rPr>
          <w:rFonts w:ascii="Arial" w:eastAsia="Arial" w:hAnsi="Arial" w:cs="Arial"/>
          <w:sz w:val="24"/>
          <w:szCs w:val="24"/>
        </w:rPr>
        <w:t xml:space="preserve">necessitate an in year </w:t>
      </w:r>
      <w:r w:rsidR="00EE4AC2">
        <w:rPr>
          <w:rFonts w:ascii="Arial" w:eastAsia="Arial" w:hAnsi="Arial" w:cs="Arial"/>
          <w:sz w:val="24"/>
          <w:szCs w:val="24"/>
        </w:rPr>
        <w:t xml:space="preserve">quarterly </w:t>
      </w:r>
      <w:r w:rsidR="00D779B6" w:rsidRPr="00786549">
        <w:rPr>
          <w:rFonts w:ascii="Arial" w:eastAsia="Arial" w:hAnsi="Arial" w:cs="Arial"/>
          <w:sz w:val="24"/>
          <w:szCs w:val="24"/>
        </w:rPr>
        <w:t>review.</w:t>
      </w:r>
    </w:p>
    <w:p w14:paraId="1E6611C4" w14:textId="77777777" w:rsidR="00B87C4F" w:rsidRDefault="00B87C4F" w:rsidP="00786549">
      <w:pPr>
        <w:ind w:left="567" w:hanging="207"/>
        <w:rPr>
          <w:rFonts w:ascii="Arial" w:eastAsia="Arial" w:hAnsi="Arial" w:cs="Arial"/>
          <w:sz w:val="24"/>
          <w:szCs w:val="24"/>
        </w:rPr>
      </w:pPr>
    </w:p>
    <w:p w14:paraId="4CC44FDD" w14:textId="77777777" w:rsidR="00B87C4F" w:rsidRDefault="00B87C4F">
      <w:pPr>
        <w:rPr>
          <w:rFonts w:ascii="Arial" w:eastAsia="Arial" w:hAnsi="Arial" w:cs="Arial"/>
          <w:sz w:val="24"/>
          <w:szCs w:val="24"/>
        </w:rPr>
      </w:pPr>
    </w:p>
    <w:p w14:paraId="2238ABF3" w14:textId="77777777" w:rsidR="00786549" w:rsidRPr="00786549" w:rsidRDefault="00786549">
      <w:pPr>
        <w:rPr>
          <w:rFonts w:ascii="Arial" w:eastAsia="Arial" w:hAnsi="Arial" w:cs="Arial"/>
          <w:i/>
          <w:sz w:val="24"/>
          <w:szCs w:val="24"/>
        </w:rPr>
      </w:pPr>
      <w:r w:rsidRPr="00786549">
        <w:rPr>
          <w:rFonts w:ascii="Arial" w:eastAsia="Arial" w:hAnsi="Arial" w:cs="Arial"/>
          <w:i/>
          <w:sz w:val="24"/>
          <w:szCs w:val="24"/>
        </w:rPr>
        <w:lastRenderedPageBreak/>
        <w:t>Claim form is attached at Annex A – Health Boards to include any necessary local contact details.</w:t>
      </w:r>
    </w:p>
    <w:p w14:paraId="73295ADF" w14:textId="77777777" w:rsidR="00786549" w:rsidRDefault="00786549">
      <w:pPr>
        <w:rPr>
          <w:rFonts w:ascii="Arial" w:eastAsia="Arial" w:hAnsi="Arial" w:cs="Arial"/>
          <w:sz w:val="24"/>
          <w:szCs w:val="24"/>
        </w:rPr>
      </w:pPr>
    </w:p>
    <w:p w14:paraId="149015CD" w14:textId="77777777" w:rsidR="00D80BFE" w:rsidRDefault="00D80BFE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Annex </w:t>
      </w:r>
      <w:r w:rsidR="009B695A">
        <w:rPr>
          <w:rFonts w:ascii="Arial" w:hAnsi="Arial" w:cs="Arial"/>
          <w:b/>
          <w:sz w:val="28"/>
          <w:szCs w:val="24"/>
        </w:rPr>
        <w:t>A</w:t>
      </w:r>
      <w:r>
        <w:rPr>
          <w:rFonts w:ascii="Arial" w:hAnsi="Arial" w:cs="Arial"/>
          <w:b/>
          <w:sz w:val="28"/>
          <w:szCs w:val="24"/>
        </w:rPr>
        <w:t xml:space="preserve"> – Claim Form </w:t>
      </w:r>
    </w:p>
    <w:p w14:paraId="76A10574" w14:textId="77777777" w:rsidR="0035444E" w:rsidRDefault="0035444E" w:rsidP="00EA168F">
      <w:pPr>
        <w:pStyle w:val="NoSpacing"/>
        <w:rPr>
          <w:rFonts w:ascii="Arial" w:hAnsi="Arial" w:cs="Arial"/>
          <w:color w:val="000000" w:themeColor="text1"/>
          <w:sz w:val="24"/>
          <w:szCs w:val="48"/>
        </w:rPr>
      </w:pPr>
      <w:r>
        <w:rPr>
          <w:rFonts w:ascii="Arial" w:hAnsi="Arial" w:cs="Arial"/>
          <w:color w:val="000000" w:themeColor="text1"/>
          <w:sz w:val="24"/>
          <w:szCs w:val="48"/>
        </w:rPr>
        <w:t xml:space="preserve">Forms can be submitted monthly but must be </w:t>
      </w:r>
      <w:r w:rsidR="00AC7B26">
        <w:rPr>
          <w:rFonts w:ascii="Arial" w:hAnsi="Arial" w:cs="Arial"/>
          <w:color w:val="000000" w:themeColor="text1"/>
          <w:sz w:val="24"/>
          <w:szCs w:val="48"/>
        </w:rPr>
        <w:t xml:space="preserve">submitted </w:t>
      </w:r>
      <w:r>
        <w:rPr>
          <w:rFonts w:ascii="Arial" w:hAnsi="Arial" w:cs="Arial"/>
          <w:color w:val="000000" w:themeColor="text1"/>
          <w:sz w:val="24"/>
          <w:szCs w:val="48"/>
        </w:rPr>
        <w:t xml:space="preserve">on a quarterly basis as a minimum. </w:t>
      </w:r>
    </w:p>
    <w:p w14:paraId="1A5B24E2" w14:textId="77777777" w:rsidR="00AC7B26" w:rsidRDefault="00AC7B26" w:rsidP="00EA168F">
      <w:pPr>
        <w:pStyle w:val="NoSpacing"/>
        <w:rPr>
          <w:rFonts w:ascii="Arial" w:hAnsi="Arial" w:cs="Arial"/>
          <w:color w:val="000000" w:themeColor="text1"/>
          <w:sz w:val="24"/>
          <w:szCs w:val="48"/>
        </w:rPr>
      </w:pPr>
    </w:p>
    <w:p w14:paraId="35A2C1C0" w14:textId="77777777" w:rsidR="00EA168F" w:rsidRDefault="00EE4AC2" w:rsidP="00EA168F">
      <w:pPr>
        <w:pStyle w:val="NoSpacing"/>
        <w:rPr>
          <w:rFonts w:ascii="Arial" w:hAnsi="Arial" w:cs="Arial"/>
          <w:color w:val="000000" w:themeColor="text1"/>
          <w:sz w:val="24"/>
          <w:szCs w:val="48"/>
        </w:rPr>
      </w:pPr>
      <w:r>
        <w:rPr>
          <w:rFonts w:ascii="Arial" w:hAnsi="Arial" w:cs="Arial"/>
          <w:color w:val="000000" w:themeColor="text1"/>
          <w:sz w:val="24"/>
          <w:szCs w:val="48"/>
        </w:rPr>
        <w:t>Practices are required to provide c</w:t>
      </w:r>
      <w:r w:rsidR="00AC7B26">
        <w:rPr>
          <w:rFonts w:ascii="Arial" w:hAnsi="Arial" w:cs="Arial"/>
          <w:color w:val="000000" w:themeColor="text1"/>
          <w:sz w:val="24"/>
          <w:szCs w:val="48"/>
        </w:rPr>
        <w:t xml:space="preserve">onfirmation of full (100%) costs </w:t>
      </w:r>
      <w:r>
        <w:rPr>
          <w:rFonts w:ascii="Arial" w:hAnsi="Arial" w:cs="Arial"/>
          <w:color w:val="000000" w:themeColor="text1"/>
          <w:sz w:val="24"/>
          <w:szCs w:val="48"/>
        </w:rPr>
        <w:t>in the table below.  W</w:t>
      </w:r>
      <w:r w:rsidR="00EA168F">
        <w:rPr>
          <w:rFonts w:ascii="Arial" w:hAnsi="Arial" w:cs="Arial"/>
          <w:color w:val="000000" w:themeColor="text1"/>
          <w:sz w:val="24"/>
          <w:szCs w:val="48"/>
        </w:rPr>
        <w:t>here appropriate</w:t>
      </w:r>
      <w:r>
        <w:rPr>
          <w:rFonts w:ascii="Arial" w:hAnsi="Arial" w:cs="Arial"/>
          <w:color w:val="000000" w:themeColor="text1"/>
          <w:sz w:val="24"/>
          <w:szCs w:val="48"/>
        </w:rPr>
        <w:t xml:space="preserve"> (</w:t>
      </w:r>
      <w:proofErr w:type="gramStart"/>
      <w:r>
        <w:rPr>
          <w:rFonts w:ascii="Arial" w:hAnsi="Arial" w:cs="Arial"/>
          <w:color w:val="000000" w:themeColor="text1"/>
          <w:sz w:val="24"/>
          <w:szCs w:val="48"/>
        </w:rPr>
        <w:t>e.g.</w:t>
      </w:r>
      <w:proofErr w:type="gramEnd"/>
      <w:r>
        <w:rPr>
          <w:rFonts w:ascii="Arial" w:hAnsi="Arial" w:cs="Arial"/>
          <w:color w:val="000000" w:themeColor="text1"/>
          <w:sz w:val="24"/>
          <w:szCs w:val="48"/>
        </w:rPr>
        <w:t xml:space="preserve"> use of locums)</w:t>
      </w:r>
      <w:r w:rsidR="00EA168F">
        <w:rPr>
          <w:rFonts w:ascii="Arial" w:hAnsi="Arial" w:cs="Arial"/>
          <w:color w:val="000000" w:themeColor="text1"/>
          <w:sz w:val="24"/>
          <w:szCs w:val="48"/>
        </w:rPr>
        <w:t xml:space="preserve">, invoices will need to be submitted to support the additional sessions to evidence that the funding has been spent, </w:t>
      </w:r>
      <w:r>
        <w:rPr>
          <w:rFonts w:ascii="Arial" w:hAnsi="Arial" w:cs="Arial"/>
          <w:color w:val="000000" w:themeColor="text1"/>
          <w:sz w:val="24"/>
          <w:szCs w:val="48"/>
        </w:rPr>
        <w:t>prior to</w:t>
      </w:r>
      <w:r w:rsidR="00EA168F">
        <w:rPr>
          <w:rFonts w:ascii="Arial" w:hAnsi="Arial" w:cs="Arial"/>
          <w:color w:val="000000" w:themeColor="text1"/>
          <w:sz w:val="24"/>
          <w:szCs w:val="48"/>
        </w:rPr>
        <w:t xml:space="preserve"> 50% reimbursement of the agreed costs. </w:t>
      </w:r>
      <w:r w:rsidR="002B0CB3">
        <w:rPr>
          <w:rFonts w:ascii="Arial" w:hAnsi="Arial" w:cs="Arial"/>
          <w:color w:val="000000" w:themeColor="text1"/>
          <w:sz w:val="24"/>
          <w:szCs w:val="48"/>
        </w:rPr>
        <w:t>C</w:t>
      </w:r>
      <w:r>
        <w:rPr>
          <w:rFonts w:ascii="Arial" w:hAnsi="Arial" w:cs="Arial"/>
          <w:color w:val="000000" w:themeColor="text1"/>
          <w:sz w:val="24"/>
          <w:szCs w:val="48"/>
        </w:rPr>
        <w:t xml:space="preserve">opies of the payroll </w:t>
      </w:r>
      <w:r w:rsidR="002B0CB3">
        <w:rPr>
          <w:rFonts w:ascii="Arial" w:hAnsi="Arial" w:cs="Arial"/>
          <w:color w:val="000000" w:themeColor="text1"/>
          <w:sz w:val="24"/>
          <w:szCs w:val="48"/>
        </w:rPr>
        <w:t>may be</w:t>
      </w:r>
      <w:r>
        <w:rPr>
          <w:rFonts w:ascii="Arial" w:hAnsi="Arial" w:cs="Arial"/>
          <w:color w:val="000000" w:themeColor="text1"/>
          <w:sz w:val="24"/>
          <w:szCs w:val="48"/>
        </w:rPr>
        <w:t xml:space="preserve"> requested.  </w:t>
      </w:r>
    </w:p>
    <w:p w14:paraId="3FEFBFD0" w14:textId="77777777" w:rsidR="00EA168F" w:rsidRPr="005A021D" w:rsidRDefault="00EA168F" w:rsidP="00EA168F">
      <w:pPr>
        <w:pStyle w:val="NoSpacing"/>
        <w:rPr>
          <w:rFonts w:ascii="Arial" w:hAnsi="Arial" w:cs="Arial"/>
          <w:color w:val="000000" w:themeColor="text1"/>
          <w:sz w:val="16"/>
          <w:szCs w:val="4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90"/>
        <w:gridCol w:w="557"/>
        <w:gridCol w:w="930"/>
        <w:gridCol w:w="1837"/>
        <w:gridCol w:w="2213"/>
        <w:gridCol w:w="1795"/>
      </w:tblGrid>
      <w:tr w:rsidR="00EA168F" w14:paraId="6B5233D7" w14:textId="77777777" w:rsidTr="0027688D">
        <w:tc>
          <w:tcPr>
            <w:tcW w:w="2547" w:type="dxa"/>
            <w:gridSpan w:val="2"/>
          </w:tcPr>
          <w:p w14:paraId="6B9E58F7" w14:textId="77777777" w:rsidR="00EA168F" w:rsidRPr="00971EBE" w:rsidRDefault="00EA168F" w:rsidP="0027688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71EB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Practice Name</w:t>
            </w:r>
          </w:p>
        </w:tc>
        <w:tc>
          <w:tcPr>
            <w:tcW w:w="6775" w:type="dxa"/>
            <w:gridSpan w:val="4"/>
          </w:tcPr>
          <w:p w14:paraId="34C7E3BB" w14:textId="77777777" w:rsidR="00EA168F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3785B44" w14:textId="77777777" w:rsidR="00062EDA" w:rsidRPr="00971EBE" w:rsidRDefault="00062EDA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A168F" w14:paraId="50E86AFE" w14:textId="77777777" w:rsidTr="0027688D">
        <w:tc>
          <w:tcPr>
            <w:tcW w:w="2547" w:type="dxa"/>
            <w:gridSpan w:val="2"/>
          </w:tcPr>
          <w:p w14:paraId="4B9BADED" w14:textId="77777777" w:rsidR="00EA168F" w:rsidRPr="00971EBE" w:rsidRDefault="00EA168F" w:rsidP="0027688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 Code</w:t>
            </w:r>
          </w:p>
        </w:tc>
        <w:tc>
          <w:tcPr>
            <w:tcW w:w="6775" w:type="dxa"/>
            <w:gridSpan w:val="4"/>
          </w:tcPr>
          <w:p w14:paraId="2E6C2973" w14:textId="77777777" w:rsidR="00EA168F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67EFE24" w14:textId="77777777" w:rsidR="00062EDA" w:rsidRPr="00971EBE" w:rsidRDefault="00062EDA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A168F" w14:paraId="612329C0" w14:textId="77777777" w:rsidTr="0027688D">
        <w:tc>
          <w:tcPr>
            <w:tcW w:w="2547" w:type="dxa"/>
            <w:gridSpan w:val="2"/>
          </w:tcPr>
          <w:p w14:paraId="7F5D69C9" w14:textId="77777777" w:rsidR="00EA168F" w:rsidRPr="00971EBE" w:rsidRDefault="00EA168F" w:rsidP="0027688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Senior partner</w:t>
            </w:r>
          </w:p>
        </w:tc>
        <w:tc>
          <w:tcPr>
            <w:tcW w:w="6775" w:type="dxa"/>
            <w:gridSpan w:val="4"/>
          </w:tcPr>
          <w:p w14:paraId="3DB04A37" w14:textId="77777777" w:rsidR="00EA168F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F1C061C" w14:textId="77777777" w:rsidR="00062EDA" w:rsidRPr="00971EBE" w:rsidRDefault="00062EDA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A168F" w14:paraId="05F75127" w14:textId="77777777" w:rsidTr="0027688D">
        <w:tc>
          <w:tcPr>
            <w:tcW w:w="2547" w:type="dxa"/>
            <w:gridSpan w:val="2"/>
          </w:tcPr>
          <w:p w14:paraId="1D0592D4" w14:textId="77777777" w:rsidR="00EA168F" w:rsidRPr="00971EBE" w:rsidRDefault="00EA168F" w:rsidP="0027688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Practice Address</w:t>
            </w:r>
          </w:p>
        </w:tc>
        <w:tc>
          <w:tcPr>
            <w:tcW w:w="6775" w:type="dxa"/>
            <w:gridSpan w:val="4"/>
          </w:tcPr>
          <w:p w14:paraId="79DE8DF4" w14:textId="77777777" w:rsidR="00EA168F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9F8B9A8" w14:textId="77777777" w:rsidR="00062EDA" w:rsidRPr="00971EBE" w:rsidRDefault="00062EDA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A168F" w14:paraId="2614B56C" w14:textId="77777777" w:rsidTr="0027688D">
        <w:tc>
          <w:tcPr>
            <w:tcW w:w="2547" w:type="dxa"/>
            <w:gridSpan w:val="2"/>
          </w:tcPr>
          <w:p w14:paraId="7BF106F4" w14:textId="77777777" w:rsidR="00EA168F" w:rsidRPr="00971EBE" w:rsidRDefault="00EA168F" w:rsidP="0027688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6775" w:type="dxa"/>
            <w:gridSpan w:val="4"/>
          </w:tcPr>
          <w:p w14:paraId="68A4AAE9" w14:textId="77777777" w:rsidR="00EA168F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03D989F" w14:textId="77777777" w:rsidR="00062EDA" w:rsidRPr="00971EBE" w:rsidRDefault="00062EDA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A168F" w14:paraId="6A07C53C" w14:textId="77777777" w:rsidTr="0027688D">
        <w:tc>
          <w:tcPr>
            <w:tcW w:w="2547" w:type="dxa"/>
            <w:gridSpan w:val="2"/>
          </w:tcPr>
          <w:p w14:paraId="0380C9C7" w14:textId="77777777" w:rsidR="00EA168F" w:rsidRPr="00971EBE" w:rsidRDefault="00EA168F" w:rsidP="0027688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Telephone Number</w:t>
            </w:r>
          </w:p>
        </w:tc>
        <w:tc>
          <w:tcPr>
            <w:tcW w:w="6775" w:type="dxa"/>
            <w:gridSpan w:val="4"/>
          </w:tcPr>
          <w:p w14:paraId="7EC98D17" w14:textId="77777777" w:rsidR="00EA168F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536953B" w14:textId="77777777" w:rsidR="00062EDA" w:rsidRPr="00971EBE" w:rsidRDefault="00062EDA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A168F" w14:paraId="5E6E83AF" w14:textId="77777777" w:rsidTr="0027688D">
        <w:tc>
          <w:tcPr>
            <w:tcW w:w="2547" w:type="dxa"/>
            <w:gridSpan w:val="2"/>
          </w:tcPr>
          <w:p w14:paraId="47266F9B" w14:textId="77777777" w:rsidR="00EA168F" w:rsidRDefault="00EA168F" w:rsidP="00EA168F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List Size @ 1</w:t>
            </w:r>
            <w:r w:rsidRPr="00F4404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January 2022</w:t>
            </w:r>
          </w:p>
        </w:tc>
        <w:tc>
          <w:tcPr>
            <w:tcW w:w="6775" w:type="dxa"/>
            <w:gridSpan w:val="4"/>
          </w:tcPr>
          <w:p w14:paraId="28945ADC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A168F" w:rsidRPr="00971EBE" w14:paraId="3FB2D635" w14:textId="77777777" w:rsidTr="0027688D">
        <w:tc>
          <w:tcPr>
            <w:tcW w:w="9322" w:type="dxa"/>
            <w:gridSpan w:val="6"/>
          </w:tcPr>
          <w:p w14:paraId="50BEC1A4" w14:textId="77777777" w:rsidR="00EA168F" w:rsidRPr="00EA07A8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Additional Staff Resource – </w:t>
            </w:r>
            <w:r w:rsidRPr="00EA07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Detail of additional posts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/hours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worked</w:t>
            </w:r>
            <w:r w:rsidRPr="00EA07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2EDA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  <w:p w14:paraId="41178E17" w14:textId="77777777" w:rsidR="00EA168F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A168F" w:rsidRPr="00971EBE" w14:paraId="789E15CF" w14:textId="77777777" w:rsidTr="0027688D">
        <w:tc>
          <w:tcPr>
            <w:tcW w:w="1990" w:type="dxa"/>
          </w:tcPr>
          <w:p w14:paraId="4AD07E87" w14:textId="77777777" w:rsidR="00EA168F" w:rsidRPr="00F4404B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440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 of individual</w:t>
            </w:r>
          </w:p>
        </w:tc>
        <w:tc>
          <w:tcPr>
            <w:tcW w:w="1487" w:type="dxa"/>
            <w:gridSpan w:val="2"/>
          </w:tcPr>
          <w:p w14:paraId="3B92E1A0" w14:textId="77777777" w:rsidR="00EA168F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Existing employee working additional hours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  sessions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,  new employee or locum</w:t>
            </w:r>
          </w:p>
        </w:tc>
        <w:tc>
          <w:tcPr>
            <w:tcW w:w="1837" w:type="dxa"/>
          </w:tcPr>
          <w:p w14:paraId="0CE69623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worked</w:t>
            </w:r>
          </w:p>
        </w:tc>
        <w:tc>
          <w:tcPr>
            <w:tcW w:w="2213" w:type="dxa"/>
          </w:tcPr>
          <w:p w14:paraId="051A7C7C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Hours/session worked</w:t>
            </w:r>
          </w:p>
        </w:tc>
        <w:tc>
          <w:tcPr>
            <w:tcW w:w="1795" w:type="dxa"/>
          </w:tcPr>
          <w:p w14:paraId="64264443" w14:textId="77777777" w:rsidR="00EA168F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cost</w:t>
            </w:r>
          </w:p>
          <w:p w14:paraId="2B15A66B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A168F" w:rsidRPr="00971EBE" w14:paraId="3DEF09F0" w14:textId="77777777" w:rsidTr="0027688D">
        <w:tc>
          <w:tcPr>
            <w:tcW w:w="1990" w:type="dxa"/>
          </w:tcPr>
          <w:p w14:paraId="63B79637" w14:textId="77777777" w:rsidR="00EA168F" w:rsidRPr="00816A3F" w:rsidRDefault="00EA168F" w:rsidP="0027688D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14:paraId="150AAB1A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 / N / L</w:t>
            </w:r>
          </w:p>
        </w:tc>
        <w:tc>
          <w:tcPr>
            <w:tcW w:w="1837" w:type="dxa"/>
          </w:tcPr>
          <w:p w14:paraId="5552C63B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</w:tcPr>
          <w:p w14:paraId="638BB1B4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12D324B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A168F" w:rsidRPr="00971EBE" w14:paraId="0FF8892C" w14:textId="77777777" w:rsidTr="0027688D">
        <w:tc>
          <w:tcPr>
            <w:tcW w:w="1990" w:type="dxa"/>
          </w:tcPr>
          <w:p w14:paraId="165D19DA" w14:textId="77777777" w:rsidR="00EA168F" w:rsidRPr="00816A3F" w:rsidRDefault="00EA168F" w:rsidP="0027688D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14:paraId="0CB58116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A25E802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</w:tcPr>
          <w:p w14:paraId="0B42655A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D36F242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A168F" w:rsidRPr="00971EBE" w14:paraId="5AE33C7B" w14:textId="77777777" w:rsidTr="00AC7B26">
        <w:tc>
          <w:tcPr>
            <w:tcW w:w="1990" w:type="dxa"/>
          </w:tcPr>
          <w:p w14:paraId="4CB3237E" w14:textId="77777777" w:rsidR="00EA168F" w:rsidRPr="00816A3F" w:rsidDel="00EA07A8" w:rsidRDefault="00EA168F" w:rsidP="0027688D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14:paraId="0F656FB2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17AA7C0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19825169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779E8C2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7B26" w:rsidRPr="00971EBE" w14:paraId="4A2A7113" w14:textId="77777777" w:rsidTr="00AC7B26">
        <w:tc>
          <w:tcPr>
            <w:tcW w:w="1990" w:type="dxa"/>
          </w:tcPr>
          <w:p w14:paraId="5A942B00" w14:textId="77777777" w:rsidR="00AC7B26" w:rsidRDefault="00AC7B26" w:rsidP="0027688D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Totals</w:t>
            </w:r>
          </w:p>
        </w:tc>
        <w:tc>
          <w:tcPr>
            <w:tcW w:w="1487" w:type="dxa"/>
            <w:gridSpan w:val="2"/>
            <w:shd w:val="clear" w:color="auto" w:fill="BFBFBF" w:themeFill="background1" w:themeFillShade="BF"/>
          </w:tcPr>
          <w:p w14:paraId="0142838F" w14:textId="77777777" w:rsidR="00AC7B26" w:rsidRPr="00971EBE" w:rsidRDefault="00AC7B26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14:paraId="6FBDAF48" w14:textId="77777777" w:rsidR="00AC7B26" w:rsidRPr="00971EBE" w:rsidRDefault="00AC7B26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14:paraId="5AFA4F0C" w14:textId="77777777" w:rsidR="00AC7B26" w:rsidRPr="00971EBE" w:rsidRDefault="00AC7B26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FB76855" w14:textId="77777777" w:rsidR="00AC7B26" w:rsidRPr="00971EBE" w:rsidRDefault="00AC7B26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A168F" w:rsidRPr="00971EBE" w14:paraId="775FAE0E" w14:textId="77777777" w:rsidTr="00AC7B26">
        <w:tc>
          <w:tcPr>
            <w:tcW w:w="1990" w:type="dxa"/>
          </w:tcPr>
          <w:p w14:paraId="5940CAD4" w14:textId="77777777" w:rsidR="00EA168F" w:rsidRPr="00816A3F" w:rsidDel="00EA07A8" w:rsidRDefault="00EA168F" w:rsidP="0027688D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CLAIMED</w:t>
            </w:r>
            <w:r w:rsidR="00AC7B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(50%)</w:t>
            </w:r>
          </w:p>
        </w:tc>
        <w:tc>
          <w:tcPr>
            <w:tcW w:w="1487" w:type="dxa"/>
            <w:gridSpan w:val="2"/>
            <w:shd w:val="clear" w:color="auto" w:fill="BFBFBF" w:themeFill="background1" w:themeFillShade="BF"/>
          </w:tcPr>
          <w:p w14:paraId="25B21A8F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14:paraId="3CB196DF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14:paraId="03F5C853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12CD6E" w14:textId="77777777" w:rsidR="00EA168F" w:rsidRPr="00971EBE" w:rsidRDefault="00EA168F" w:rsidP="0027688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CA538A9" w14:textId="77777777" w:rsidR="00EA168F" w:rsidRPr="00B90B78" w:rsidRDefault="00EA168F" w:rsidP="00EA168F">
      <w:pPr>
        <w:jc w:val="both"/>
        <w:rPr>
          <w:rFonts w:ascii="Arial" w:hAnsi="Arial" w:cs="Arial"/>
          <w:b/>
          <w:noProof/>
          <w:lang w:eastAsia="en-GB"/>
        </w:rPr>
      </w:pPr>
    </w:p>
    <w:p w14:paraId="597B82AF" w14:textId="77777777" w:rsidR="002B0CB3" w:rsidRDefault="002B0CB3" w:rsidP="00EA168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25164DD" w14:textId="77777777" w:rsidR="002B0CB3" w:rsidRDefault="002B0CB3" w:rsidP="00EA168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379764B4" w14:textId="77777777" w:rsidR="00EA168F" w:rsidRPr="00E256BA" w:rsidRDefault="00EA168F" w:rsidP="00EA168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256BA">
        <w:rPr>
          <w:rFonts w:ascii="Arial" w:hAnsi="Arial" w:cs="Arial"/>
          <w:b/>
          <w:i/>
          <w:sz w:val="24"/>
          <w:szCs w:val="24"/>
          <w:u w:val="single"/>
        </w:rPr>
        <w:lastRenderedPageBreak/>
        <w:t>PRACTICE DECLARATIONS</w:t>
      </w:r>
    </w:p>
    <w:p w14:paraId="45FF0EF4" w14:textId="77777777" w:rsidR="002B0CB3" w:rsidRPr="0095266F" w:rsidRDefault="002B0CB3" w:rsidP="002B0CB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266F">
        <w:rPr>
          <w:rFonts w:ascii="Arial" w:eastAsia="Times New Roman" w:hAnsi="Arial" w:cs="Arial"/>
          <w:sz w:val="24"/>
          <w:szCs w:val="24"/>
        </w:rPr>
        <w:t xml:space="preserve">I/we confirm that </w:t>
      </w:r>
      <w:r>
        <w:rPr>
          <w:rFonts w:ascii="Arial" w:eastAsia="Times New Roman" w:hAnsi="Arial" w:cs="Arial"/>
          <w:sz w:val="24"/>
          <w:szCs w:val="24"/>
        </w:rPr>
        <w:t>we have read and understand the requirements of the additional capacity funding as outlined in the 2022/23 guidance.</w:t>
      </w:r>
    </w:p>
    <w:p w14:paraId="64ED7E01" w14:textId="77777777" w:rsidR="002B0CB3" w:rsidRPr="002B0CB3" w:rsidRDefault="002B0CB3" w:rsidP="002B0CB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266F">
        <w:rPr>
          <w:rFonts w:ascii="Arial" w:eastAsia="Times New Roman" w:hAnsi="Arial" w:cs="Arial"/>
          <w:sz w:val="24"/>
          <w:szCs w:val="24"/>
        </w:rPr>
        <w:t xml:space="preserve">I/we confirm that the </w:t>
      </w:r>
      <w:r>
        <w:rPr>
          <w:rFonts w:ascii="Arial" w:eastAsia="Times New Roman" w:hAnsi="Arial" w:cs="Arial"/>
          <w:sz w:val="24"/>
          <w:szCs w:val="24"/>
        </w:rPr>
        <w:t>above claim meets the requirements of the 2022/23 guidance</w:t>
      </w:r>
    </w:p>
    <w:p w14:paraId="0607E4A1" w14:textId="77777777" w:rsidR="00EA168F" w:rsidRPr="0095266F" w:rsidRDefault="00EA168F" w:rsidP="00EA168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266F">
        <w:rPr>
          <w:rFonts w:ascii="Arial" w:eastAsia="Times New Roman" w:hAnsi="Arial" w:cs="Arial"/>
          <w:sz w:val="24"/>
          <w:szCs w:val="24"/>
        </w:rPr>
        <w:t>I/we confirm that the information provided in this application form is accurate</w:t>
      </w:r>
    </w:p>
    <w:p w14:paraId="77DA960E" w14:textId="77777777" w:rsidR="00EA168F" w:rsidRPr="0035444E" w:rsidRDefault="00EA168F" w:rsidP="00EA168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266F">
        <w:rPr>
          <w:rFonts w:ascii="Arial" w:eastAsia="Times New Roman" w:hAnsi="Arial" w:cs="Arial"/>
          <w:sz w:val="24"/>
          <w:szCs w:val="24"/>
        </w:rPr>
        <w:t xml:space="preserve">I/we confirm that </w:t>
      </w:r>
      <w:r>
        <w:rPr>
          <w:rFonts w:ascii="Arial" w:eastAsia="Times New Roman" w:hAnsi="Arial" w:cs="Arial"/>
          <w:sz w:val="24"/>
          <w:szCs w:val="24"/>
        </w:rPr>
        <w:t>the above claim relates to additional hours / sessions worked by individuals which were not in place before 1</w:t>
      </w:r>
      <w:r w:rsidRPr="00F4404B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December 2021 </w:t>
      </w:r>
      <w:r w:rsidRPr="0095266F">
        <w:rPr>
          <w:rFonts w:ascii="Arial" w:hAnsi="Arial" w:cs="Arial"/>
          <w:sz w:val="24"/>
          <w:szCs w:val="24"/>
        </w:rPr>
        <w:t xml:space="preserve"> </w:t>
      </w:r>
    </w:p>
    <w:p w14:paraId="17BB7F50" w14:textId="77777777" w:rsidR="0035444E" w:rsidRPr="0095266F" w:rsidRDefault="0035444E" w:rsidP="0035444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266F">
        <w:rPr>
          <w:rFonts w:ascii="Arial" w:eastAsia="Times New Roman" w:hAnsi="Arial" w:cs="Arial"/>
          <w:sz w:val="24"/>
          <w:szCs w:val="24"/>
        </w:rPr>
        <w:t xml:space="preserve">I/we confirm that </w:t>
      </w:r>
      <w:r>
        <w:rPr>
          <w:rFonts w:ascii="Arial" w:eastAsia="Times New Roman" w:hAnsi="Arial" w:cs="Arial"/>
          <w:sz w:val="24"/>
          <w:szCs w:val="24"/>
        </w:rPr>
        <w:t xml:space="preserve">the above hours have not been claimed through any other scheme or service payment e.g. Enhanced service / </w:t>
      </w:r>
      <w:proofErr w:type="gramStart"/>
      <w:r>
        <w:rPr>
          <w:rFonts w:ascii="Arial" w:eastAsia="Times New Roman" w:hAnsi="Arial" w:cs="Arial"/>
          <w:sz w:val="24"/>
          <w:szCs w:val="24"/>
        </w:rPr>
        <w:t>PCCS:I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5266F">
        <w:rPr>
          <w:rFonts w:ascii="Arial" w:hAnsi="Arial" w:cs="Arial"/>
          <w:sz w:val="24"/>
          <w:szCs w:val="24"/>
        </w:rPr>
        <w:t xml:space="preserve"> </w:t>
      </w:r>
    </w:p>
    <w:p w14:paraId="0F0FED04" w14:textId="77777777" w:rsidR="00062EDA" w:rsidRPr="0095266F" w:rsidRDefault="00062EDA" w:rsidP="00062E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266F">
        <w:rPr>
          <w:rFonts w:ascii="Arial" w:eastAsia="Times New Roman" w:hAnsi="Arial" w:cs="Arial"/>
          <w:sz w:val="24"/>
          <w:szCs w:val="24"/>
        </w:rPr>
        <w:t xml:space="preserve">I/we confirm that I/we will identify the additional clinical sessions being claimed and will submit </w:t>
      </w:r>
      <w:r>
        <w:rPr>
          <w:rFonts w:ascii="Arial" w:eastAsia="Times New Roman" w:hAnsi="Arial" w:cs="Arial"/>
          <w:sz w:val="24"/>
          <w:szCs w:val="24"/>
        </w:rPr>
        <w:t>appropriate records such as</w:t>
      </w:r>
      <w:r w:rsidRPr="0095266F">
        <w:rPr>
          <w:rFonts w:ascii="Arial" w:eastAsia="Times New Roman" w:hAnsi="Arial" w:cs="Arial"/>
          <w:sz w:val="24"/>
          <w:szCs w:val="24"/>
        </w:rPr>
        <w:t xml:space="preserve"> invoices to the Health Board </w:t>
      </w:r>
      <w:r>
        <w:rPr>
          <w:rFonts w:ascii="Arial" w:eastAsia="Times New Roman" w:hAnsi="Arial" w:cs="Arial"/>
          <w:sz w:val="24"/>
          <w:szCs w:val="24"/>
        </w:rPr>
        <w:t>where required</w:t>
      </w:r>
    </w:p>
    <w:p w14:paraId="71047AD5" w14:textId="77777777" w:rsidR="00062EDA" w:rsidRPr="0095266F" w:rsidRDefault="00062EDA" w:rsidP="00062EDA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3E9290D" w14:textId="77777777" w:rsidR="0035444E" w:rsidRDefault="0035444E" w:rsidP="00EA168F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2D8B250" w14:textId="77777777" w:rsidR="00EA168F" w:rsidRPr="0095266F" w:rsidRDefault="00EA168F" w:rsidP="00EA168F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5266F">
        <w:rPr>
          <w:rFonts w:ascii="Arial" w:hAnsi="Arial" w:cs="Arial"/>
          <w:b/>
          <w:sz w:val="24"/>
          <w:szCs w:val="24"/>
        </w:rPr>
        <w:t xml:space="preserve">uthorised signature: </w:t>
      </w:r>
      <w:r w:rsidRPr="0095266F">
        <w:rPr>
          <w:rFonts w:ascii="Arial" w:hAnsi="Arial" w:cs="Arial"/>
          <w:sz w:val="24"/>
          <w:szCs w:val="24"/>
        </w:rPr>
        <w:t>________________________________________________</w:t>
      </w:r>
    </w:p>
    <w:p w14:paraId="3E3D71B1" w14:textId="77777777" w:rsidR="00EA168F" w:rsidRPr="0095266F" w:rsidRDefault="00EA168F" w:rsidP="00EA168F">
      <w:pPr>
        <w:pStyle w:val="Footer"/>
        <w:shd w:val="clear" w:color="auto" w:fill="FFFFFF"/>
        <w:rPr>
          <w:rFonts w:ascii="Arial" w:hAnsi="Arial" w:cs="Arial"/>
          <w:sz w:val="24"/>
          <w:szCs w:val="24"/>
        </w:rPr>
      </w:pPr>
      <w:r w:rsidRPr="0095266F">
        <w:rPr>
          <w:rFonts w:ascii="Arial" w:hAnsi="Arial" w:cs="Arial"/>
          <w:sz w:val="24"/>
          <w:szCs w:val="24"/>
        </w:rPr>
        <w:t>(</w:t>
      </w:r>
      <w:r w:rsidR="00062EDA">
        <w:rPr>
          <w:rFonts w:ascii="Arial" w:hAnsi="Arial" w:cs="Arial"/>
          <w:sz w:val="24"/>
          <w:szCs w:val="24"/>
        </w:rPr>
        <w:t xml:space="preserve">Print &amp; sign </w:t>
      </w:r>
      <w:r w:rsidRPr="0095266F">
        <w:rPr>
          <w:rFonts w:ascii="Arial" w:hAnsi="Arial" w:cs="Arial"/>
          <w:sz w:val="24"/>
          <w:szCs w:val="24"/>
        </w:rPr>
        <w:t>on behalf of the practice)</w:t>
      </w:r>
    </w:p>
    <w:p w14:paraId="563F69D8" w14:textId="77777777" w:rsidR="00EA168F" w:rsidRPr="00F4404B" w:rsidRDefault="00EA168F" w:rsidP="00EA168F">
      <w:pPr>
        <w:spacing w:line="240" w:lineRule="auto"/>
        <w:jc w:val="both"/>
        <w:rPr>
          <w:rFonts w:ascii="Arial" w:hAnsi="Arial" w:cs="Arial"/>
          <w:b/>
          <w:sz w:val="14"/>
          <w:szCs w:val="24"/>
        </w:rPr>
      </w:pPr>
    </w:p>
    <w:p w14:paraId="59CC5570" w14:textId="77777777" w:rsidR="00EA168F" w:rsidRPr="0095266F" w:rsidRDefault="00EA168F" w:rsidP="00EA168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5266F">
        <w:rPr>
          <w:rFonts w:ascii="Arial" w:hAnsi="Arial" w:cs="Arial"/>
          <w:b/>
          <w:sz w:val="24"/>
          <w:szCs w:val="24"/>
        </w:rPr>
        <w:t>Name:</w:t>
      </w:r>
      <w:r w:rsidRPr="0095266F">
        <w:rPr>
          <w:rFonts w:ascii="Arial" w:hAnsi="Arial" w:cs="Arial"/>
          <w:sz w:val="24"/>
          <w:szCs w:val="24"/>
        </w:rPr>
        <w:t>_</w:t>
      </w:r>
      <w:proofErr w:type="gramEnd"/>
      <w:r w:rsidRPr="0095266F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0EF69EF4" w14:textId="77777777" w:rsidR="00062EDA" w:rsidRDefault="00062EDA" w:rsidP="00EA168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63CB462" w14:textId="77777777" w:rsidR="00EA168F" w:rsidRPr="00F4404B" w:rsidRDefault="00EA168F" w:rsidP="00EA168F">
      <w:pPr>
        <w:spacing w:line="240" w:lineRule="auto"/>
        <w:rPr>
          <w:rFonts w:ascii="Arial" w:hAnsi="Arial" w:cs="Arial"/>
          <w:b/>
          <w:color w:val="000000" w:themeColor="text1"/>
          <w:sz w:val="10"/>
          <w:szCs w:val="48"/>
        </w:rPr>
      </w:pPr>
      <w:proofErr w:type="gramStart"/>
      <w:r w:rsidRPr="0095266F">
        <w:rPr>
          <w:rFonts w:ascii="Arial" w:hAnsi="Arial" w:cs="Arial"/>
          <w:b/>
          <w:sz w:val="24"/>
          <w:szCs w:val="24"/>
        </w:rPr>
        <w:t>Date:</w:t>
      </w:r>
      <w:r w:rsidRPr="0095266F">
        <w:rPr>
          <w:rFonts w:ascii="Arial" w:hAnsi="Arial" w:cs="Arial"/>
          <w:sz w:val="24"/>
          <w:szCs w:val="24"/>
        </w:rPr>
        <w:t>_</w:t>
      </w:r>
      <w:proofErr w:type="gramEnd"/>
      <w:r w:rsidRPr="0095266F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95266F">
        <w:rPr>
          <w:rFonts w:ascii="Arial" w:hAnsi="Arial" w:cs="Arial"/>
          <w:b/>
          <w:sz w:val="24"/>
          <w:szCs w:val="24"/>
        </w:rPr>
        <w:br/>
      </w:r>
    </w:p>
    <w:p w14:paraId="01E0E0DB" w14:textId="77777777" w:rsidR="00EA168F" w:rsidRPr="00345BD4" w:rsidRDefault="00EA168F" w:rsidP="00EA168F"/>
    <w:p w14:paraId="2B1EEF73" w14:textId="77777777" w:rsidR="00062EDA" w:rsidRPr="0095266F" w:rsidRDefault="00062EDA" w:rsidP="00062ED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*********************************************************************************************************</w:t>
      </w:r>
    </w:p>
    <w:p w14:paraId="5CD4E9F7" w14:textId="77777777" w:rsidR="00062EDA" w:rsidRDefault="00062EDA" w:rsidP="00062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E256BA">
        <w:rPr>
          <w:rFonts w:ascii="Arial" w:hAnsi="Arial" w:cs="Arial"/>
          <w:b/>
          <w:bCs/>
          <w:i/>
          <w:sz w:val="24"/>
          <w:szCs w:val="24"/>
          <w:u w:val="single"/>
        </w:rPr>
        <w:t>HEALTH BOARD OFFICE USE</w:t>
      </w:r>
    </w:p>
    <w:p w14:paraId="6F209BBE" w14:textId="77777777" w:rsidR="00062EDA" w:rsidRPr="00E256BA" w:rsidRDefault="00062EDA" w:rsidP="00062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5103C142" w14:textId="77777777" w:rsidR="00062EDA" w:rsidRPr="0095266F" w:rsidRDefault="00062EDA" w:rsidP="00062E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5266F">
        <w:rPr>
          <w:rFonts w:ascii="Arial" w:hAnsi="Arial" w:cs="Arial"/>
          <w:bCs/>
          <w:sz w:val="24"/>
          <w:szCs w:val="24"/>
        </w:rPr>
        <w:t xml:space="preserve">Approved/Not </w:t>
      </w:r>
      <w:proofErr w:type="gramStart"/>
      <w:r w:rsidRPr="0095266F">
        <w:rPr>
          <w:rFonts w:ascii="Arial" w:hAnsi="Arial" w:cs="Arial"/>
          <w:bCs/>
          <w:sz w:val="24"/>
          <w:szCs w:val="24"/>
        </w:rPr>
        <w:t>approved:_</w:t>
      </w:r>
      <w:proofErr w:type="gramEnd"/>
      <w:r w:rsidRPr="0095266F">
        <w:rPr>
          <w:rFonts w:ascii="Arial" w:hAnsi="Arial" w:cs="Arial"/>
          <w:bCs/>
          <w:sz w:val="24"/>
          <w:szCs w:val="24"/>
        </w:rPr>
        <w:t>_________________________________________</w:t>
      </w:r>
    </w:p>
    <w:p w14:paraId="1819D6EC" w14:textId="77777777" w:rsidR="00062EDA" w:rsidRPr="0095266F" w:rsidRDefault="00062EDA" w:rsidP="00062E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56DC53" w14:textId="77777777" w:rsidR="00062EDA" w:rsidRPr="0095266F" w:rsidRDefault="00062EDA" w:rsidP="00062E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5266F">
        <w:rPr>
          <w:rFonts w:ascii="Arial" w:hAnsi="Arial" w:cs="Arial"/>
          <w:bCs/>
          <w:sz w:val="24"/>
          <w:szCs w:val="24"/>
        </w:rPr>
        <w:t xml:space="preserve">Date ________________________________________ </w:t>
      </w:r>
    </w:p>
    <w:p w14:paraId="494F25A8" w14:textId="77777777" w:rsidR="00062EDA" w:rsidRPr="0095266F" w:rsidRDefault="00062EDA" w:rsidP="00062E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C647F23" w14:textId="77777777" w:rsidR="00062EDA" w:rsidRPr="0095266F" w:rsidRDefault="00062EDA" w:rsidP="00062EDA">
      <w:pPr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5266F">
        <w:rPr>
          <w:rFonts w:ascii="Arial" w:eastAsia="Times New Roman" w:hAnsi="Arial" w:cs="Arial"/>
          <w:sz w:val="24"/>
          <w:szCs w:val="24"/>
        </w:rPr>
        <w:t>Core Establishment Verified via WNWRS:</w:t>
      </w:r>
      <w:r w:rsidRPr="0095266F">
        <w:rPr>
          <w:rFonts w:ascii="Arial" w:eastAsia="Times New Roman" w:hAnsi="Arial" w:cs="Arial"/>
          <w:sz w:val="24"/>
          <w:szCs w:val="24"/>
        </w:rPr>
        <w:tab/>
      </w:r>
      <w:r w:rsidRPr="0095266F">
        <w:rPr>
          <w:rFonts w:ascii="Arial" w:eastAsia="Times New Roman" w:hAnsi="Arial" w:cs="Arial"/>
          <w:sz w:val="24"/>
          <w:szCs w:val="24"/>
        </w:rPr>
        <w:tab/>
        <w:t>YES / NO</w:t>
      </w:r>
    </w:p>
    <w:p w14:paraId="366E4B24" w14:textId="77777777" w:rsidR="00062EDA" w:rsidRPr="0095266F" w:rsidRDefault="00062EDA" w:rsidP="00062E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0456D6F" w14:textId="77777777" w:rsidR="00062EDA" w:rsidRPr="0095266F" w:rsidRDefault="00062EDA" w:rsidP="00062E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5266F">
        <w:rPr>
          <w:rFonts w:ascii="Arial" w:hAnsi="Arial" w:cs="Arial"/>
          <w:bCs/>
          <w:sz w:val="24"/>
          <w:szCs w:val="24"/>
        </w:rPr>
        <w:t>Comment</w:t>
      </w:r>
      <w:r>
        <w:rPr>
          <w:rFonts w:ascii="Arial" w:hAnsi="Arial" w:cs="Arial"/>
          <w:bCs/>
          <w:sz w:val="24"/>
          <w:szCs w:val="24"/>
        </w:rPr>
        <w:t>s:</w:t>
      </w:r>
    </w:p>
    <w:p w14:paraId="42840E7F" w14:textId="77777777" w:rsidR="00062EDA" w:rsidRPr="0095266F" w:rsidRDefault="00062EDA" w:rsidP="00062E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5266F">
        <w:rPr>
          <w:rFonts w:ascii="Arial" w:hAnsi="Arial" w:cs="Arial"/>
          <w:bCs/>
          <w:sz w:val="24"/>
          <w:szCs w:val="24"/>
        </w:rPr>
        <w:t> </w:t>
      </w:r>
    </w:p>
    <w:p w14:paraId="5F2CE970" w14:textId="77777777" w:rsidR="00D80BFE" w:rsidRPr="000F15C4" w:rsidRDefault="00D80BFE" w:rsidP="00062EDA">
      <w:pPr>
        <w:rPr>
          <w:rFonts w:ascii="Arial" w:hAnsi="Arial" w:cs="Arial"/>
          <w:b/>
          <w:sz w:val="28"/>
          <w:szCs w:val="24"/>
        </w:rPr>
      </w:pPr>
    </w:p>
    <w:sectPr w:rsidR="00D80BFE" w:rsidRPr="000F15C4" w:rsidSect="00C301F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6BAD" w14:textId="77777777" w:rsidR="00B20393" w:rsidRDefault="00B20393" w:rsidP="000F15C4">
      <w:pPr>
        <w:spacing w:after="0" w:line="240" w:lineRule="auto"/>
      </w:pPr>
      <w:r>
        <w:separator/>
      </w:r>
    </w:p>
  </w:endnote>
  <w:endnote w:type="continuationSeparator" w:id="0">
    <w:p w14:paraId="1C8C09BA" w14:textId="77777777" w:rsidR="00B20393" w:rsidRDefault="00B20393" w:rsidP="000F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68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1F971" w14:textId="77777777" w:rsidR="000F15C4" w:rsidRDefault="000568E1">
        <w:pPr>
          <w:pStyle w:val="Footer"/>
          <w:jc w:val="center"/>
        </w:pPr>
        <w:r>
          <w:fldChar w:fldCharType="begin"/>
        </w:r>
        <w:r w:rsidR="000F15C4">
          <w:instrText xml:space="preserve"> PAGE   \* MERGEFORMAT </w:instrText>
        </w:r>
        <w:r>
          <w:fldChar w:fldCharType="separate"/>
        </w:r>
        <w:r w:rsidR="000A7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9B2A43" w14:textId="77777777" w:rsidR="000F15C4" w:rsidRDefault="000F1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5C95" w14:textId="77777777" w:rsidR="00B20393" w:rsidRDefault="00B20393" w:rsidP="000F15C4">
      <w:pPr>
        <w:spacing w:after="0" w:line="240" w:lineRule="auto"/>
      </w:pPr>
      <w:r>
        <w:separator/>
      </w:r>
    </w:p>
  </w:footnote>
  <w:footnote w:type="continuationSeparator" w:id="0">
    <w:p w14:paraId="6F029C25" w14:textId="77777777" w:rsidR="00B20393" w:rsidRDefault="00B20393" w:rsidP="000F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BCE4" w14:textId="77777777" w:rsidR="000A7D35" w:rsidRPr="000A7D35" w:rsidRDefault="0065646E" w:rsidP="000A7D35">
    <w:pPr>
      <w:rPr>
        <w:rFonts w:ascii="Arial" w:hAnsi="Arial" w:cs="Arial"/>
        <w:sz w:val="24"/>
      </w:rPr>
    </w:pPr>
    <w:r w:rsidRPr="0065646E">
      <w:rPr>
        <w:rFonts w:ascii="Arial" w:hAnsi="Arial" w:cs="Arial"/>
        <w:sz w:val="24"/>
      </w:rPr>
      <w:t xml:space="preserve">Guidance for the GMS Contract </w:t>
    </w:r>
    <w:r w:rsidR="000A7D35">
      <w:rPr>
        <w:rFonts w:ascii="Arial" w:hAnsi="Arial" w:cs="Arial"/>
        <w:sz w:val="24"/>
      </w:rPr>
      <w:t xml:space="preserve"> </w:t>
    </w:r>
    <w:r w:rsidR="000A7D35" w:rsidRPr="000A7D35">
      <w:rPr>
        <w:rFonts w:ascii="Arial" w:hAnsi="Arial" w:cs="Arial"/>
        <w:sz w:val="24"/>
      </w:rPr>
      <w:t>Additional Capacity</w:t>
    </w:r>
    <w:r w:rsidR="000A7D35">
      <w:rPr>
        <w:rFonts w:ascii="Arial" w:hAnsi="Arial" w:cs="Arial"/>
        <w:sz w:val="24"/>
      </w:rPr>
      <w:t xml:space="preserve"> 2022/23</w:t>
    </w:r>
  </w:p>
  <w:p w14:paraId="1B641E18" w14:textId="77777777" w:rsidR="00062EDA" w:rsidRPr="0065646E" w:rsidRDefault="00062EDA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C4306"/>
    <w:multiLevelType w:val="hybridMultilevel"/>
    <w:tmpl w:val="689A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006FC"/>
    <w:multiLevelType w:val="hybridMultilevel"/>
    <w:tmpl w:val="39586498"/>
    <w:lvl w:ilvl="0" w:tplc="25E88BF8">
      <w:numFmt w:val="bullet"/>
      <w:lvlText w:val=""/>
      <w:lvlJc w:val="left"/>
      <w:pPr>
        <w:tabs>
          <w:tab w:val="num" w:pos="1004"/>
        </w:tabs>
        <w:ind w:left="1004" w:hanging="72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F3A4A14"/>
    <w:multiLevelType w:val="hybridMultilevel"/>
    <w:tmpl w:val="D1E0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30963">
    <w:abstractNumId w:val="2"/>
  </w:num>
  <w:num w:numId="2" w16cid:durableId="943877034">
    <w:abstractNumId w:val="0"/>
  </w:num>
  <w:num w:numId="3" w16cid:durableId="45444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C4"/>
    <w:rsid w:val="000568E1"/>
    <w:rsid w:val="00062EDA"/>
    <w:rsid w:val="00066B66"/>
    <w:rsid w:val="00083E1F"/>
    <w:rsid w:val="000A7D35"/>
    <w:rsid w:val="000F15C4"/>
    <w:rsid w:val="00126588"/>
    <w:rsid w:val="001371E9"/>
    <w:rsid w:val="001E114F"/>
    <w:rsid w:val="001F1BC9"/>
    <w:rsid w:val="00220399"/>
    <w:rsid w:val="00235F00"/>
    <w:rsid w:val="00266CF2"/>
    <w:rsid w:val="002B044F"/>
    <w:rsid w:val="002B0CB3"/>
    <w:rsid w:val="0035444E"/>
    <w:rsid w:val="00404DAC"/>
    <w:rsid w:val="0042435E"/>
    <w:rsid w:val="00561A1D"/>
    <w:rsid w:val="00606790"/>
    <w:rsid w:val="0065646E"/>
    <w:rsid w:val="00786549"/>
    <w:rsid w:val="007B75BB"/>
    <w:rsid w:val="00805C11"/>
    <w:rsid w:val="009472C4"/>
    <w:rsid w:val="00995DA7"/>
    <w:rsid w:val="009B695A"/>
    <w:rsid w:val="009C56C7"/>
    <w:rsid w:val="00A603D8"/>
    <w:rsid w:val="00AC7B26"/>
    <w:rsid w:val="00B20393"/>
    <w:rsid w:val="00B21F38"/>
    <w:rsid w:val="00B87C4F"/>
    <w:rsid w:val="00C237CD"/>
    <w:rsid w:val="00C301FF"/>
    <w:rsid w:val="00D06BB7"/>
    <w:rsid w:val="00D439B0"/>
    <w:rsid w:val="00D779B6"/>
    <w:rsid w:val="00D80BFE"/>
    <w:rsid w:val="00EA168F"/>
    <w:rsid w:val="00EC54E8"/>
    <w:rsid w:val="00EE4AC2"/>
    <w:rsid w:val="00F529A9"/>
    <w:rsid w:val="00F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DF0708"/>
  <w15:docId w15:val="{53B64FD9-D63D-4F1C-AAF6-4F310BC9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C4"/>
  </w:style>
  <w:style w:type="paragraph" w:styleId="Footer">
    <w:name w:val="footer"/>
    <w:basedOn w:val="Normal"/>
    <w:link w:val="FooterChar"/>
    <w:uiPriority w:val="99"/>
    <w:unhideWhenUsed/>
    <w:rsid w:val="000F1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C4"/>
  </w:style>
  <w:style w:type="paragraph" w:styleId="NoSpacing">
    <w:name w:val="No Spacing"/>
    <w:uiPriority w:val="1"/>
    <w:qFormat/>
    <w:rsid w:val="00D80BFE"/>
    <w:pPr>
      <w:spacing w:after="0" w:line="240" w:lineRule="auto"/>
    </w:pPr>
  </w:style>
  <w:style w:type="table" w:styleId="TableGrid">
    <w:name w:val="Table Grid"/>
    <w:basedOn w:val="TableNormal"/>
    <w:uiPriority w:val="39"/>
    <w:rsid w:val="00E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OBC Bullet,Colorful List - Accent 11,Bullet Style,L,B"/>
    <w:basedOn w:val="Normal"/>
    <w:link w:val="ListParagraphChar"/>
    <w:uiPriority w:val="34"/>
    <w:qFormat/>
    <w:rsid w:val="00EA168F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EA168F"/>
  </w:style>
  <w:style w:type="character" w:styleId="CommentReference">
    <w:name w:val="annotation reference"/>
    <w:basedOn w:val="DefaultParagraphFont"/>
    <w:uiPriority w:val="99"/>
    <w:semiHidden/>
    <w:unhideWhenUsed/>
    <w:rsid w:val="00EA1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6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A38286739</value>
    </field>
    <field name="Objective-Title">
      <value order="0">Additional Capacity Guidance 2022-23 - Final</value>
    </field>
    <field name="Objective-Description">
      <value order="0"/>
    </field>
    <field name="Objective-CreationStamp">
      <value order="0">2022-01-18T20:27:58Z</value>
    </field>
    <field name="Objective-IsApproved">
      <value order="0">false</value>
    </field>
    <field name="Objective-IsPublished">
      <value order="0">true</value>
    </field>
    <field name="Objective-DatePublished">
      <value order="0">2022-02-15T10:36:23Z</value>
    </field>
    <field name="Objective-ModificationStamp">
      <value order="0">2022-02-15T10:36:23Z</value>
    </field>
    <field name="Objective-Owner">
      <value order="0">Sullivan, Jodi (HSS - Directorate of Primary Care &amp; Mental Health)</value>
    </field>
    <field name="Objective-Path">
      <value order="0">Objective Global Folder:Business File Plan:WG Organisational Groups:NEW - Post April 2022 - Health &amp; Social Services:HSS Director of Primary Care &amp; Mental Health:Health &amp; Social Services (HSS) - PC&amp;MH - Primary Care:1 - Save:General Medical Services and Indemnity:Policy Folders:GMS Contract Negotiations:General Medical Services - Contract Negotiation - Implementation - 2021-2023:Final Contract Guidance - 2021/22</value>
    </field>
    <field name="Objective-Parent">
      <value order="0">Final Contract Guidance - 2021/22</value>
    </field>
    <field name="Objective-State">
      <value order="0">Published</value>
    </field>
    <field name="Objective-VersionId">
      <value order="0">vA75062664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qA1485493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2022-01-24T23:00:00Z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013a1f52c1836bdaf917fac24368259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cbda5e32a338cca00a8c6edba211bec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2EB2DC6-128A-4841-932D-8C78CC9BE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14A8DA-0EB5-45A6-A17E-458F06732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69C1E-83CB-4CCC-AAC7-7919A4CCE8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E845FE-C8EC-4C0D-AE37-661DA3808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the GMS Contract  Additional Capacity 2022/23</dc:title>
  <dc:creator>Sullivan, Jodi (HSS - Primary Care &amp; Health Science)</dc:creator>
  <cp:lastModifiedBy>Cahalane, Claudia (HSS - Communications)</cp:lastModifiedBy>
  <cp:revision>2</cp:revision>
  <dcterms:created xsi:type="dcterms:W3CDTF">2022-06-22T13:10:00Z</dcterms:created>
  <dcterms:modified xsi:type="dcterms:W3CDTF">2022-06-22T13:10:00Z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A38286739</vt:lpwstr>
  </property>
  <property fmtid="{D5CDD505-2E9C-101B-9397-08002B2CF9AE}" pid="4" name="Objective-Title">
    <vt:lpwstr>Additional Capacity Guidance 2022-23 -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2022-01-25T10:25:11Z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2022-02-15T10:36:23Z</vt:filetime>
  </property>
  <property fmtid="{D5CDD505-2E9C-101B-9397-08002B2CF9AE}" pid="10" name="Objective-ModificationStamp">
    <vt:filetime>2022-02-15T10:36:23Z</vt:filetime>
  </property>
  <property fmtid="{D5CDD505-2E9C-101B-9397-08002B2CF9AE}" pid="11" name="Objective-Owner">
    <vt:lpwstr>Sullivan, Jodi (HSS - Directorate of Primary Care &amp; Mental Health)</vt:lpwstr>
  </property>
  <property fmtid="{D5CDD505-2E9C-101B-9397-08002B2CF9AE}" pid="12" name="Objective-Path">
    <vt:lpwstr>Objective Global Folder:Business File Plan:WG Organisational Groups:NEW - Post April 2022 - Health &amp; Social Services:HSS Director of Primary Care &amp; Mental Health:Health &amp; Social Services (HSS) - PC&amp;MH - Primary Care:1 - Save:General Medical Services and Indemnity:Policy Folders:GMS Contract Negotiations:General Medical Services - Contract Negotiation - Implementation - 2021-2023:Final Contract Guidance - 2021/22:</vt:lpwstr>
  </property>
  <property fmtid="{D5CDD505-2E9C-101B-9397-08002B2CF9AE}" pid="13" name="Objective-Parent">
    <vt:lpwstr>Final Contract Guidance - 2021/22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vA75062664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2022-01-24T23:00:00Z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