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DBC7A8" w14:textId="77777777" w:rsidR="00904591" w:rsidRPr="00904591" w:rsidRDefault="00904591" w:rsidP="00904591">
      <w:pPr>
        <w:shd w:val="clear" w:color="auto" w:fill="FFFFFF"/>
        <w:spacing w:line="240" w:lineRule="auto"/>
        <w:outlineLvl w:val="1"/>
        <w:rPr>
          <w:rFonts w:ascii="Arial" w:eastAsia="Times New Roman" w:hAnsi="Arial" w:cs="Arial"/>
          <w:b/>
          <w:bCs/>
          <w:color w:val="1F1F1F"/>
          <w:sz w:val="36"/>
          <w:szCs w:val="36"/>
        </w:rPr>
      </w:pPr>
      <w:r>
        <w:rPr>
          <w:rFonts w:ascii="Arial" w:hAnsi="Arial"/>
          <w:b/>
          <w:color w:val="1F1F1F"/>
          <w:sz w:val="36"/>
        </w:rPr>
        <w:t xml:space="preserve">O que a Lei sobre o Arrendamento de Casas significa para os senhorios </w:t>
      </w:r>
    </w:p>
    <w:p w14:paraId="50877D2E" w14:textId="77777777" w:rsidR="00904591" w:rsidRPr="00904591" w:rsidRDefault="00904591" w:rsidP="00904591">
      <w:pPr>
        <w:shd w:val="clear" w:color="auto" w:fill="FFFFFF"/>
        <w:spacing w:after="300" w:line="240" w:lineRule="auto"/>
        <w:rPr>
          <w:rFonts w:ascii="Arial" w:eastAsia="Times New Roman" w:hAnsi="Arial" w:cs="Arial"/>
          <w:color w:val="1F1F1F"/>
          <w:sz w:val="24"/>
          <w:szCs w:val="24"/>
        </w:rPr>
      </w:pPr>
      <w:r>
        <w:rPr>
          <w:rFonts w:ascii="Arial" w:hAnsi="Arial"/>
          <w:color w:val="1F1F1F"/>
          <w:sz w:val="24"/>
        </w:rPr>
        <w:t>A Lei sobre o Arrendamento de Casas (País de Gales) de 2016 simplifica a forma como se arrendam propriedades. Há dois tipos de senhorio ao abrigo da Lei:  </w:t>
      </w:r>
    </w:p>
    <w:p w14:paraId="78DA1F01" w14:textId="77777777" w:rsidR="00904591" w:rsidRPr="00904591" w:rsidRDefault="00904591" w:rsidP="00904591">
      <w:pPr>
        <w:numPr>
          <w:ilvl w:val="0"/>
          <w:numId w:val="1"/>
        </w:numPr>
        <w:shd w:val="clear" w:color="auto" w:fill="FFFFFF"/>
        <w:spacing w:before="100" w:beforeAutospacing="1" w:after="100" w:afterAutospacing="1" w:line="240" w:lineRule="auto"/>
        <w:rPr>
          <w:rFonts w:ascii="Arial" w:eastAsia="Times New Roman" w:hAnsi="Arial" w:cs="Arial"/>
          <w:color w:val="1F1F1F"/>
          <w:sz w:val="24"/>
          <w:szCs w:val="24"/>
        </w:rPr>
      </w:pPr>
      <w:r>
        <w:rPr>
          <w:rFonts w:ascii="Arial" w:hAnsi="Arial"/>
          <w:color w:val="1F1F1F"/>
          <w:sz w:val="24"/>
        </w:rPr>
        <w:t>senhorios comunitários (principalmente autoridades locais e senhorios sociais registados); e</w:t>
      </w:r>
    </w:p>
    <w:p w14:paraId="62E46CA3" w14:textId="77777777" w:rsidR="00904591" w:rsidRPr="00904591" w:rsidRDefault="00904591" w:rsidP="00904591">
      <w:pPr>
        <w:numPr>
          <w:ilvl w:val="0"/>
          <w:numId w:val="1"/>
        </w:numPr>
        <w:shd w:val="clear" w:color="auto" w:fill="FFFFFF"/>
        <w:spacing w:before="100" w:beforeAutospacing="1" w:after="100" w:afterAutospacing="1" w:line="240" w:lineRule="auto"/>
        <w:rPr>
          <w:rFonts w:ascii="Arial" w:eastAsia="Times New Roman" w:hAnsi="Arial" w:cs="Arial"/>
          <w:color w:val="1F1F1F"/>
          <w:sz w:val="24"/>
          <w:szCs w:val="24"/>
        </w:rPr>
      </w:pPr>
      <w:r>
        <w:rPr>
          <w:rFonts w:ascii="Arial" w:hAnsi="Arial"/>
          <w:color w:val="1F1F1F"/>
          <w:sz w:val="24"/>
        </w:rPr>
        <w:t>senhorios privados (todos os outros senhorios).</w:t>
      </w:r>
    </w:p>
    <w:p w14:paraId="70288C0B" w14:textId="77777777" w:rsidR="00904591" w:rsidRPr="00904591" w:rsidRDefault="00904591" w:rsidP="00904591">
      <w:pPr>
        <w:shd w:val="clear" w:color="auto" w:fill="FFFFFF"/>
        <w:spacing w:after="300" w:line="240" w:lineRule="auto"/>
        <w:rPr>
          <w:rFonts w:ascii="Arial" w:eastAsia="Times New Roman" w:hAnsi="Arial" w:cs="Arial"/>
          <w:color w:val="1F1F1F"/>
          <w:sz w:val="24"/>
          <w:szCs w:val="24"/>
        </w:rPr>
      </w:pPr>
      <w:r>
        <w:rPr>
          <w:rFonts w:ascii="Arial" w:hAnsi="Arial"/>
          <w:color w:val="1F1F1F"/>
          <w:sz w:val="24"/>
        </w:rPr>
        <w:t>Os arrendatários e licenciados são chamados "detentores de contratos" ao abrigo da lei. Os titulares de contratos terão um "contrato de ocupação" (que substitui os acordos de arrendamento e licença).</w:t>
      </w:r>
    </w:p>
    <w:p w14:paraId="5E91723D" w14:textId="77777777" w:rsidR="00904591" w:rsidRPr="00904591" w:rsidRDefault="00904591" w:rsidP="00904591">
      <w:pPr>
        <w:shd w:val="clear" w:color="auto" w:fill="FFFFFF"/>
        <w:spacing w:after="300" w:line="240" w:lineRule="auto"/>
        <w:rPr>
          <w:rFonts w:ascii="Arial" w:eastAsia="Times New Roman" w:hAnsi="Arial" w:cs="Arial"/>
          <w:color w:val="1F1F1F"/>
          <w:sz w:val="24"/>
          <w:szCs w:val="24"/>
        </w:rPr>
      </w:pPr>
      <w:r>
        <w:rPr>
          <w:rFonts w:ascii="Arial" w:hAnsi="Arial"/>
          <w:color w:val="1F1F1F"/>
          <w:sz w:val="24"/>
        </w:rPr>
        <w:t>Existem dois tipos de contrato de ocupação:</w:t>
      </w:r>
    </w:p>
    <w:p w14:paraId="0CD86BE6" w14:textId="77777777" w:rsidR="00904591" w:rsidRPr="00904591" w:rsidRDefault="00904591" w:rsidP="00904591">
      <w:pPr>
        <w:numPr>
          <w:ilvl w:val="0"/>
          <w:numId w:val="2"/>
        </w:numPr>
        <w:shd w:val="clear" w:color="auto" w:fill="FFFFFF"/>
        <w:spacing w:before="100" w:beforeAutospacing="1" w:after="100" w:afterAutospacing="1" w:line="240" w:lineRule="auto"/>
        <w:rPr>
          <w:rFonts w:ascii="Arial" w:eastAsia="Times New Roman" w:hAnsi="Arial" w:cs="Arial"/>
          <w:color w:val="1F1F1F"/>
          <w:sz w:val="24"/>
          <w:szCs w:val="24"/>
        </w:rPr>
      </w:pPr>
      <w:r>
        <w:rPr>
          <w:rFonts w:ascii="Arial" w:hAnsi="Arial"/>
          <w:color w:val="1F1F1F"/>
          <w:sz w:val="24"/>
        </w:rPr>
        <w:t>Contrato seguro: para utilização pelos senhorios comunitários.</w:t>
      </w:r>
    </w:p>
    <w:p w14:paraId="65B012F2" w14:textId="77777777" w:rsidR="00904591" w:rsidRPr="00904591" w:rsidRDefault="00904591" w:rsidP="00904591">
      <w:pPr>
        <w:numPr>
          <w:ilvl w:val="0"/>
          <w:numId w:val="2"/>
        </w:numPr>
        <w:shd w:val="clear" w:color="auto" w:fill="FFFFFF"/>
        <w:spacing w:before="100" w:beforeAutospacing="1" w:after="100" w:afterAutospacing="1" w:line="240" w:lineRule="auto"/>
        <w:rPr>
          <w:rFonts w:ascii="Arial" w:eastAsia="Times New Roman" w:hAnsi="Arial" w:cs="Arial"/>
          <w:color w:val="1F1F1F"/>
          <w:sz w:val="24"/>
          <w:szCs w:val="24"/>
        </w:rPr>
      </w:pPr>
      <w:r>
        <w:rPr>
          <w:rFonts w:ascii="Arial" w:hAnsi="Arial"/>
          <w:color w:val="1F1F1F"/>
          <w:sz w:val="24"/>
        </w:rPr>
        <w:t>Contrato padrão: este é o contrato padrão para o setor privado alugado (PRS), mas pode ser feito pelas autoridades locais e RSL em determinadas circunstâncias (por exemplo, um "Contrato padrão adaptado" dentro de um alojamento adaptado).</w:t>
      </w:r>
    </w:p>
    <w:p w14:paraId="2ED3B731" w14:textId="77777777" w:rsidR="00904591" w:rsidRPr="00904591" w:rsidRDefault="00904591" w:rsidP="00904591">
      <w:pPr>
        <w:shd w:val="clear" w:color="auto" w:fill="FFFFFF"/>
        <w:spacing w:after="300" w:line="240" w:lineRule="auto"/>
        <w:rPr>
          <w:rFonts w:ascii="Arial" w:eastAsia="Times New Roman" w:hAnsi="Arial" w:cs="Arial"/>
          <w:color w:val="1F1F1F"/>
          <w:sz w:val="24"/>
          <w:szCs w:val="24"/>
        </w:rPr>
      </w:pPr>
      <w:r>
        <w:rPr>
          <w:rFonts w:ascii="Arial" w:hAnsi="Arial"/>
          <w:color w:val="1F1F1F"/>
          <w:sz w:val="24"/>
        </w:rPr>
        <w:t>Há quatro tipos de termos que podem figurar nos contratos de ocupação:</w:t>
      </w:r>
    </w:p>
    <w:p w14:paraId="0B278E26" w14:textId="77777777" w:rsidR="00904591" w:rsidRPr="00904591" w:rsidRDefault="00904591" w:rsidP="00904591">
      <w:pPr>
        <w:numPr>
          <w:ilvl w:val="0"/>
          <w:numId w:val="3"/>
        </w:numPr>
        <w:shd w:val="clear" w:color="auto" w:fill="FFFFFF"/>
        <w:spacing w:before="100" w:beforeAutospacing="1" w:after="100" w:afterAutospacing="1" w:line="240" w:lineRule="auto"/>
        <w:rPr>
          <w:rFonts w:ascii="Arial" w:eastAsia="Times New Roman" w:hAnsi="Arial" w:cs="Arial"/>
          <w:color w:val="1F1F1F"/>
          <w:sz w:val="24"/>
          <w:szCs w:val="24"/>
        </w:rPr>
      </w:pPr>
      <w:r>
        <w:rPr>
          <w:rFonts w:ascii="Arial" w:hAnsi="Arial"/>
          <w:color w:val="1F1F1F"/>
          <w:sz w:val="24"/>
        </w:rPr>
        <w:t>Questões-chave: os nomes das partes e a morada da propriedade. Estes devem ser inseridos em todos os contratos.</w:t>
      </w:r>
    </w:p>
    <w:p w14:paraId="0784F5E4" w14:textId="77777777" w:rsidR="00904591" w:rsidRPr="00904591" w:rsidRDefault="00904591" w:rsidP="00904591">
      <w:pPr>
        <w:numPr>
          <w:ilvl w:val="0"/>
          <w:numId w:val="3"/>
        </w:numPr>
        <w:shd w:val="clear" w:color="auto" w:fill="FFFFFF"/>
        <w:spacing w:before="100" w:beforeAutospacing="1" w:after="100" w:afterAutospacing="1" w:line="240" w:lineRule="auto"/>
        <w:rPr>
          <w:rFonts w:ascii="Arial" w:eastAsia="Times New Roman" w:hAnsi="Arial" w:cs="Arial"/>
          <w:color w:val="1F1F1F"/>
          <w:sz w:val="24"/>
          <w:szCs w:val="24"/>
        </w:rPr>
      </w:pPr>
      <w:r>
        <w:rPr>
          <w:rFonts w:ascii="Arial" w:hAnsi="Arial"/>
          <w:color w:val="1F1F1F"/>
          <w:sz w:val="24"/>
        </w:rPr>
        <w:t>Termos Fundamentais: abrange os aspetos mais importantes do contrato, incluindo a forma como o senhorio obtém a posse e as obrigações do senhorio relativamente às reparações.</w:t>
      </w:r>
    </w:p>
    <w:p w14:paraId="12D9D425" w14:textId="77777777" w:rsidR="00904591" w:rsidRPr="00904591" w:rsidRDefault="00904591" w:rsidP="00904591">
      <w:pPr>
        <w:numPr>
          <w:ilvl w:val="0"/>
          <w:numId w:val="3"/>
        </w:numPr>
        <w:shd w:val="clear" w:color="auto" w:fill="FFFFFF"/>
        <w:spacing w:before="100" w:beforeAutospacing="1" w:after="100" w:afterAutospacing="1" w:line="240" w:lineRule="auto"/>
        <w:rPr>
          <w:rFonts w:ascii="Arial" w:eastAsia="Times New Roman" w:hAnsi="Arial" w:cs="Arial"/>
          <w:color w:val="1F1F1F"/>
          <w:sz w:val="24"/>
          <w:szCs w:val="24"/>
        </w:rPr>
      </w:pPr>
      <w:r>
        <w:rPr>
          <w:rFonts w:ascii="Arial" w:hAnsi="Arial"/>
          <w:color w:val="1F1F1F"/>
          <w:sz w:val="24"/>
        </w:rPr>
        <w:t>Termos suplementares: lidar com os assuntos mais práticos do dia-a-dia aplicáveis ao contrato de ocupação, por exemplo, a exigência de um detentor de contrato notificar o senhorio se o imóvel vai ficar vazio durante quatro semanas ou mais.</w:t>
      </w:r>
    </w:p>
    <w:p w14:paraId="49AC3847" w14:textId="77777777" w:rsidR="00904591" w:rsidRPr="00904591" w:rsidRDefault="00904591" w:rsidP="00904591">
      <w:pPr>
        <w:numPr>
          <w:ilvl w:val="0"/>
          <w:numId w:val="3"/>
        </w:numPr>
        <w:shd w:val="clear" w:color="auto" w:fill="FFFFFF"/>
        <w:spacing w:before="100" w:beforeAutospacing="1" w:after="100" w:afterAutospacing="1" w:line="240" w:lineRule="auto"/>
        <w:rPr>
          <w:rFonts w:ascii="Arial" w:eastAsia="Times New Roman" w:hAnsi="Arial" w:cs="Arial"/>
          <w:color w:val="1F1F1F"/>
          <w:sz w:val="24"/>
          <w:szCs w:val="24"/>
        </w:rPr>
      </w:pPr>
      <w:r>
        <w:rPr>
          <w:rFonts w:ascii="Arial" w:hAnsi="Arial"/>
          <w:color w:val="1F1F1F"/>
          <w:sz w:val="24"/>
        </w:rPr>
        <w:t>Termos adicionais: aborda quaisquer outros assuntos especificamente acordados, por exemplo um termo que se relaciona com a guarda de animais de estimação. Quaisquer termos adicionais devem ser justos, como exigido pela Lei dos Direitos do Consumidor de 2015.</w:t>
      </w:r>
    </w:p>
    <w:p w14:paraId="6EF7D568" w14:textId="77777777" w:rsidR="00904591" w:rsidRPr="00904591" w:rsidRDefault="00904591" w:rsidP="00904591">
      <w:pPr>
        <w:shd w:val="clear" w:color="auto" w:fill="FFFFFF"/>
        <w:spacing w:after="300" w:line="240" w:lineRule="auto"/>
        <w:rPr>
          <w:rFonts w:ascii="Arial" w:eastAsia="Times New Roman" w:hAnsi="Arial" w:cs="Arial"/>
          <w:color w:val="1F1F1F"/>
          <w:sz w:val="24"/>
          <w:szCs w:val="24"/>
        </w:rPr>
      </w:pPr>
      <w:r>
        <w:rPr>
          <w:rFonts w:ascii="Arial" w:hAnsi="Arial"/>
          <w:color w:val="1F1F1F"/>
          <w:sz w:val="24"/>
        </w:rPr>
        <w:t>Será necessário emitir uma "declaração escrita" do contrato de ocupação a todos os titulares do contrato (isto substituirá o seu atual contrato de arrendamento ou de licença). Esta declaração escrita deve conter todos os 'termos contratuais necessários'.</w:t>
      </w:r>
    </w:p>
    <w:p w14:paraId="34C2D9EA" w14:textId="77777777" w:rsidR="00904591" w:rsidRPr="00904591" w:rsidRDefault="00904591" w:rsidP="00904591">
      <w:pPr>
        <w:shd w:val="clear" w:color="auto" w:fill="FFFFFF"/>
        <w:spacing w:after="300" w:line="240" w:lineRule="auto"/>
        <w:rPr>
          <w:rFonts w:ascii="Arial" w:eastAsia="Times New Roman" w:hAnsi="Arial" w:cs="Arial"/>
          <w:color w:val="1F1F1F"/>
          <w:sz w:val="24"/>
          <w:szCs w:val="24"/>
        </w:rPr>
      </w:pPr>
      <w:r>
        <w:rPr>
          <w:rFonts w:ascii="Arial" w:hAnsi="Arial"/>
          <w:color w:val="1F1F1F"/>
          <w:sz w:val="24"/>
        </w:rPr>
        <w:t xml:space="preserve">Para novos arrendamentos após a data de implementação, a declaração escrita deve ser emitida no prazo de 14 dias após a ocupação ao abrigo do contrato. Os contratos de arrendamento existentes "converter-se-ão" ao contrato de ocupação relevante no dia da implementação, e os proprietários têm um máximo de seis meses para emitir uma declaração escrita do contrato de ocupação convertido aos </w:t>
      </w:r>
      <w:r>
        <w:rPr>
          <w:rFonts w:ascii="Arial" w:hAnsi="Arial"/>
          <w:color w:val="1F1F1F"/>
          <w:sz w:val="24"/>
        </w:rPr>
        <w:lastRenderedPageBreak/>
        <w:t>seus titulares de contrato. A declaração escrita pode ser emitida em papel ou, se o detentor do contrato concordar, por via eletrónica. </w:t>
      </w:r>
    </w:p>
    <w:p w14:paraId="322EA579" w14:textId="77777777" w:rsidR="00904591" w:rsidRPr="00904591" w:rsidRDefault="00904591" w:rsidP="00904591">
      <w:pPr>
        <w:shd w:val="clear" w:color="auto" w:fill="FFFFFF"/>
        <w:spacing w:after="300" w:line="240" w:lineRule="auto"/>
        <w:rPr>
          <w:rFonts w:ascii="Arial" w:eastAsia="Times New Roman" w:hAnsi="Arial" w:cs="Arial"/>
          <w:color w:val="1F1F1F"/>
          <w:sz w:val="24"/>
          <w:szCs w:val="24"/>
        </w:rPr>
      </w:pPr>
      <w:r>
        <w:rPr>
          <w:rFonts w:ascii="Arial" w:hAnsi="Arial"/>
          <w:color w:val="1F1F1F"/>
          <w:sz w:val="24"/>
        </w:rPr>
        <w:t>Ver </w:t>
      </w:r>
      <w:hyperlink r:id="rId5" w:history="1">
        <w:r>
          <w:rPr>
            <w:rFonts w:ascii="Arial" w:hAnsi="Arial"/>
            <w:b/>
            <w:color w:val="0360A6"/>
            <w:sz w:val="24"/>
            <w:u w:val="single"/>
          </w:rPr>
          <w:t>modelo de declarações escritas que pode utilizar como base para os seus contratos novos e contratos convertidos</w:t>
        </w:r>
      </w:hyperlink>
      <w:r>
        <w:rPr>
          <w:rFonts w:ascii="Arial" w:hAnsi="Arial"/>
          <w:color w:val="1F1F1F"/>
          <w:sz w:val="24"/>
        </w:rPr>
        <w:t>.</w:t>
      </w:r>
    </w:p>
    <w:p w14:paraId="428EE707" w14:textId="77777777" w:rsidR="00904591" w:rsidRPr="00904591" w:rsidRDefault="00904591" w:rsidP="00904591">
      <w:pPr>
        <w:shd w:val="clear" w:color="auto" w:fill="FFFFFF"/>
        <w:spacing w:after="300" w:line="240" w:lineRule="auto"/>
        <w:rPr>
          <w:rFonts w:ascii="Arial" w:eastAsia="Times New Roman" w:hAnsi="Arial" w:cs="Arial"/>
          <w:color w:val="1F1F1F"/>
          <w:sz w:val="24"/>
          <w:szCs w:val="24"/>
        </w:rPr>
      </w:pPr>
      <w:r>
        <w:rPr>
          <w:rFonts w:ascii="Arial" w:hAnsi="Arial"/>
          <w:color w:val="1F1F1F"/>
          <w:sz w:val="24"/>
        </w:rPr>
        <w:t>Ver </w:t>
      </w:r>
      <w:hyperlink r:id="rId6" w:history="1">
        <w:r>
          <w:rPr>
            <w:rFonts w:ascii="Arial" w:hAnsi="Arial"/>
            <w:b/>
            <w:color w:val="0360A6"/>
            <w:sz w:val="24"/>
            <w:u w:val="single"/>
          </w:rPr>
          <w:t>a criação de um contrato de ocupação convertido: orientação para senhorios</w:t>
        </w:r>
      </w:hyperlink>
      <w:r>
        <w:rPr>
          <w:rFonts w:ascii="Arial" w:hAnsi="Arial"/>
          <w:color w:val="1F1F1F"/>
          <w:sz w:val="24"/>
        </w:rPr>
        <w:t>.</w:t>
      </w:r>
    </w:p>
    <w:p w14:paraId="7F41C9BC" w14:textId="77777777" w:rsidR="00904591" w:rsidRPr="00904591" w:rsidRDefault="00904591" w:rsidP="00904591">
      <w:pPr>
        <w:shd w:val="clear" w:color="auto" w:fill="FFFFFF"/>
        <w:spacing w:line="240" w:lineRule="auto"/>
        <w:rPr>
          <w:rFonts w:ascii="Arial" w:eastAsia="Times New Roman" w:hAnsi="Arial" w:cs="Arial"/>
          <w:color w:val="1F1F1F"/>
          <w:sz w:val="24"/>
          <w:szCs w:val="24"/>
        </w:rPr>
      </w:pPr>
      <w:r>
        <w:rPr>
          <w:rFonts w:ascii="Arial" w:hAnsi="Arial"/>
          <w:color w:val="1F1F1F"/>
          <w:sz w:val="24"/>
        </w:rPr>
        <w:t>Os senhorios terão de ter em mente os seguintes aspetos.</w:t>
      </w:r>
    </w:p>
    <w:p w14:paraId="19E53B78" w14:textId="77777777" w:rsidR="00904591" w:rsidRPr="00904591" w:rsidRDefault="00904591" w:rsidP="00904591">
      <w:pPr>
        <w:shd w:val="clear" w:color="auto" w:fill="FFFFFF"/>
        <w:spacing w:line="240" w:lineRule="auto"/>
        <w:outlineLvl w:val="1"/>
        <w:rPr>
          <w:rFonts w:ascii="Arial" w:eastAsia="Times New Roman" w:hAnsi="Arial" w:cs="Arial"/>
          <w:b/>
          <w:bCs/>
          <w:color w:val="1F1F1F"/>
          <w:sz w:val="36"/>
          <w:szCs w:val="36"/>
        </w:rPr>
      </w:pPr>
      <w:r>
        <w:rPr>
          <w:rFonts w:ascii="Arial" w:hAnsi="Arial"/>
          <w:b/>
          <w:color w:val="1F1F1F"/>
          <w:sz w:val="36"/>
        </w:rPr>
        <w:t xml:space="preserve">Terminar contratos de ocupação </w:t>
      </w:r>
    </w:p>
    <w:p w14:paraId="0A271BFA" w14:textId="77777777" w:rsidR="00904591" w:rsidRPr="00904591" w:rsidRDefault="00904591" w:rsidP="00904591">
      <w:pPr>
        <w:shd w:val="clear" w:color="auto" w:fill="FFFFFF"/>
        <w:spacing w:after="300" w:line="240" w:lineRule="auto"/>
        <w:rPr>
          <w:rFonts w:ascii="Arial" w:eastAsia="Times New Roman" w:hAnsi="Arial" w:cs="Arial"/>
          <w:color w:val="1F1F1F"/>
          <w:sz w:val="24"/>
          <w:szCs w:val="24"/>
        </w:rPr>
      </w:pPr>
      <w:r>
        <w:rPr>
          <w:rFonts w:ascii="Arial" w:hAnsi="Arial"/>
          <w:color w:val="1F1F1F"/>
          <w:sz w:val="24"/>
        </w:rPr>
        <w:t>Se o titular do contrato tiver violado o contrato de ocupação, o prazo mínimo de pré-aviso que deve ser dado é de um mês. Este prazo de pré-aviso pode ser mais curto quando estiver relacionado com uma violação do comportamento antissocial ou dos termos de atrasos graves no pagamento da renda.</w:t>
      </w:r>
    </w:p>
    <w:p w14:paraId="1968EDD6" w14:textId="77777777" w:rsidR="00904591" w:rsidRPr="00904591" w:rsidRDefault="00904591" w:rsidP="00904591">
      <w:pPr>
        <w:shd w:val="clear" w:color="auto" w:fill="FFFFFF"/>
        <w:spacing w:after="300" w:line="240" w:lineRule="auto"/>
        <w:rPr>
          <w:rFonts w:ascii="Arial" w:eastAsia="Times New Roman" w:hAnsi="Arial" w:cs="Arial"/>
          <w:color w:val="1F1F1F"/>
          <w:sz w:val="24"/>
          <w:szCs w:val="24"/>
        </w:rPr>
      </w:pPr>
      <w:r>
        <w:rPr>
          <w:rFonts w:ascii="Arial" w:hAnsi="Arial"/>
          <w:color w:val="1F1F1F"/>
          <w:sz w:val="24"/>
        </w:rPr>
        <w:t>Quando é emitido um pré-aviso "sem culpas", o período mínimo de pré-aviso que deve ser dado é de seis meses.</w:t>
      </w:r>
    </w:p>
    <w:p w14:paraId="6978DE11" w14:textId="77777777" w:rsidR="00904591" w:rsidRPr="00904591" w:rsidRDefault="00904591" w:rsidP="00904591">
      <w:pPr>
        <w:shd w:val="clear" w:color="auto" w:fill="FFFFFF"/>
        <w:spacing w:after="300" w:line="240" w:lineRule="auto"/>
        <w:rPr>
          <w:rFonts w:ascii="Arial" w:eastAsia="Times New Roman" w:hAnsi="Arial" w:cs="Arial"/>
          <w:color w:val="1F1F1F"/>
          <w:sz w:val="24"/>
          <w:szCs w:val="24"/>
        </w:rPr>
      </w:pPr>
      <w:r>
        <w:rPr>
          <w:rFonts w:ascii="Arial" w:hAnsi="Arial"/>
          <w:color w:val="1F1F1F"/>
          <w:sz w:val="24"/>
        </w:rPr>
        <w:t>Um senhorio não poderá dar tal aviso até 6 meses após o início do contrato.</w:t>
      </w:r>
    </w:p>
    <w:p w14:paraId="5CEC1C46" w14:textId="77777777" w:rsidR="00904591" w:rsidRPr="00904591" w:rsidRDefault="00904591" w:rsidP="00904591">
      <w:pPr>
        <w:shd w:val="clear" w:color="auto" w:fill="FFFFFF"/>
        <w:spacing w:after="300" w:line="240" w:lineRule="auto"/>
        <w:rPr>
          <w:rFonts w:ascii="Arial" w:eastAsia="Times New Roman" w:hAnsi="Arial" w:cs="Arial"/>
          <w:color w:val="1F1F1F"/>
          <w:sz w:val="24"/>
          <w:szCs w:val="24"/>
        </w:rPr>
      </w:pPr>
      <w:r>
        <w:rPr>
          <w:rFonts w:ascii="Arial" w:hAnsi="Arial"/>
          <w:color w:val="1F1F1F"/>
          <w:sz w:val="24"/>
        </w:rPr>
        <w:t>Um senhorio não poderá dar tal aviso a menos que tenha cumprido determinadas obrigações, incluindo o registo e licenciamento com Rent Smart Wales e regras de proteção de depósitos.</w:t>
      </w:r>
    </w:p>
    <w:p w14:paraId="69058B0F" w14:textId="77777777" w:rsidR="00904591" w:rsidRPr="00904591" w:rsidRDefault="00904591" w:rsidP="00904591">
      <w:pPr>
        <w:shd w:val="clear" w:color="auto" w:fill="FFFFFF"/>
        <w:spacing w:line="240" w:lineRule="auto"/>
        <w:rPr>
          <w:rFonts w:ascii="Arial" w:eastAsia="Times New Roman" w:hAnsi="Arial" w:cs="Arial"/>
          <w:color w:val="1F1F1F"/>
          <w:sz w:val="24"/>
          <w:szCs w:val="24"/>
        </w:rPr>
      </w:pPr>
      <w:r>
        <w:rPr>
          <w:rFonts w:ascii="Arial" w:hAnsi="Arial"/>
          <w:color w:val="1F1F1F"/>
          <w:sz w:val="24"/>
        </w:rPr>
        <w:t>As cláusulas de rescisão do senhorio só poderão ser incorporadas num contrato de ocupação a prazo fixo se o contrato tiver um prazo fixo de 2 anos ou mais. Um senhorio não poderá exercer uma cláusula de pausa nos primeiros 18 meses de ocupação.</w:t>
      </w:r>
    </w:p>
    <w:p w14:paraId="14B4B24B" w14:textId="77777777" w:rsidR="00904591" w:rsidRPr="00904591" w:rsidRDefault="00904591" w:rsidP="00904591">
      <w:pPr>
        <w:shd w:val="clear" w:color="auto" w:fill="FFFFFF"/>
        <w:spacing w:line="240" w:lineRule="auto"/>
        <w:outlineLvl w:val="1"/>
        <w:rPr>
          <w:rFonts w:ascii="Arial" w:eastAsia="Times New Roman" w:hAnsi="Arial" w:cs="Arial"/>
          <w:b/>
          <w:bCs/>
          <w:color w:val="1F1F1F"/>
          <w:sz w:val="36"/>
          <w:szCs w:val="36"/>
        </w:rPr>
      </w:pPr>
      <w:r>
        <w:rPr>
          <w:rFonts w:ascii="Arial" w:hAnsi="Arial"/>
          <w:b/>
          <w:color w:val="1F1F1F"/>
          <w:sz w:val="36"/>
        </w:rPr>
        <w:t>Reparações e condições das propriedades alugadas</w:t>
      </w:r>
    </w:p>
    <w:p w14:paraId="732893AD" w14:textId="77777777" w:rsidR="00904591" w:rsidRPr="00904591" w:rsidRDefault="00904591" w:rsidP="00904591">
      <w:pPr>
        <w:shd w:val="clear" w:color="auto" w:fill="FFFFFF"/>
        <w:spacing w:after="300" w:line="240" w:lineRule="auto"/>
        <w:rPr>
          <w:rFonts w:ascii="Arial" w:eastAsia="Times New Roman" w:hAnsi="Arial" w:cs="Arial"/>
          <w:color w:val="1F1F1F"/>
          <w:sz w:val="24"/>
          <w:szCs w:val="24"/>
        </w:rPr>
      </w:pPr>
      <w:r>
        <w:rPr>
          <w:rFonts w:ascii="Arial" w:hAnsi="Arial"/>
          <w:color w:val="1F1F1F"/>
          <w:sz w:val="24"/>
        </w:rPr>
        <w:t>Deve assegurar-se que as  propriedades são </w:t>
      </w:r>
      <w:hyperlink r:id="rId7" w:history="1">
        <w:r>
          <w:rPr>
            <w:rFonts w:ascii="Arial" w:hAnsi="Arial"/>
            <w:b/>
            <w:color w:val="0360A6"/>
            <w:sz w:val="24"/>
            <w:u w:val="single"/>
          </w:rPr>
          <w:t>adequadas à habitação humana</w:t>
        </w:r>
      </w:hyperlink>
      <w:r>
        <w:rPr>
          <w:rFonts w:ascii="Arial" w:hAnsi="Arial"/>
          <w:color w:val="1F1F1F"/>
          <w:sz w:val="24"/>
        </w:rPr>
        <w:t> (FFHH). Isto incluirá, por exemplo, testes de segurança elétrica e assegurar a instalação de alarmes de fumo em funcionamento e detetores de monóxido de carbono. Os deveres dos senhorios relacionados com FFHH podem ser encontrados aqui e as orientações podem ser encontradas aqui. Além disso, o arrendamento não será pago por qualquer período durante o qual a habitação não esteja habitável.</w:t>
      </w:r>
    </w:p>
    <w:p w14:paraId="76B64908" w14:textId="77777777" w:rsidR="00904591" w:rsidRPr="00904591" w:rsidRDefault="00904591" w:rsidP="00904591">
      <w:pPr>
        <w:shd w:val="clear" w:color="auto" w:fill="FFFFFF"/>
        <w:spacing w:after="300" w:line="240" w:lineRule="auto"/>
        <w:rPr>
          <w:rFonts w:ascii="Arial" w:eastAsia="Times New Roman" w:hAnsi="Arial" w:cs="Arial"/>
          <w:color w:val="1F1F1F"/>
          <w:sz w:val="24"/>
          <w:szCs w:val="24"/>
        </w:rPr>
      </w:pPr>
      <w:r>
        <w:rPr>
          <w:rFonts w:ascii="Arial" w:hAnsi="Arial"/>
          <w:color w:val="1F1F1F"/>
          <w:sz w:val="24"/>
        </w:rPr>
        <w:t xml:space="preserve">Deve manter a estrutura e o exterior do imóvel em reparação e manter as instalações de abastecimento de água, gás ou eletricidade, de saneamento, de aquecimento de espaços e de água quente em reparação e em bom estado de funcionamento. </w:t>
      </w:r>
    </w:p>
    <w:p w14:paraId="4A1CBB68" w14:textId="77777777" w:rsidR="00904591" w:rsidRPr="00904591" w:rsidRDefault="00904591" w:rsidP="00904591">
      <w:pPr>
        <w:shd w:val="clear" w:color="auto" w:fill="FFFFFF"/>
        <w:spacing w:line="240" w:lineRule="auto"/>
        <w:rPr>
          <w:rFonts w:ascii="Arial" w:eastAsia="Times New Roman" w:hAnsi="Arial" w:cs="Arial"/>
          <w:color w:val="1F1F1F"/>
          <w:sz w:val="24"/>
          <w:szCs w:val="24"/>
        </w:rPr>
      </w:pPr>
      <w:r>
        <w:rPr>
          <w:rFonts w:ascii="Arial" w:hAnsi="Arial"/>
          <w:color w:val="1F1F1F"/>
          <w:sz w:val="24"/>
        </w:rPr>
        <w:t xml:space="preserve">Se um senhorio emitir um pré-aviso de posse "sem culpas" em resposta a um pedido de reparação (vulgarmente conhecido como despejo retaliatório), o tribunal </w:t>
      </w:r>
      <w:r>
        <w:rPr>
          <w:rFonts w:ascii="Arial" w:hAnsi="Arial"/>
          <w:color w:val="1F1F1F"/>
          <w:sz w:val="24"/>
        </w:rPr>
        <w:lastRenderedPageBreak/>
        <w:t>pode recusar-se a emitir uma ordem de posse e não será possível emitir um novo pré-aviso de posse "sem culpas" até 6 meses mais tarde.</w:t>
      </w:r>
    </w:p>
    <w:p w14:paraId="4B4E563A" w14:textId="77777777" w:rsidR="00904591" w:rsidRPr="00904591" w:rsidRDefault="00904591" w:rsidP="00904591">
      <w:pPr>
        <w:shd w:val="clear" w:color="auto" w:fill="FFFFFF"/>
        <w:spacing w:line="240" w:lineRule="auto"/>
        <w:outlineLvl w:val="1"/>
        <w:rPr>
          <w:rFonts w:ascii="Arial" w:eastAsia="Times New Roman" w:hAnsi="Arial" w:cs="Arial"/>
          <w:b/>
          <w:bCs/>
          <w:color w:val="1F1F1F"/>
          <w:sz w:val="36"/>
          <w:szCs w:val="36"/>
        </w:rPr>
      </w:pPr>
      <w:r>
        <w:rPr>
          <w:rFonts w:ascii="Arial" w:hAnsi="Arial"/>
          <w:b/>
          <w:color w:val="1F1F1F"/>
          <w:sz w:val="36"/>
        </w:rPr>
        <w:t>Contratos conjuntos</w:t>
      </w:r>
    </w:p>
    <w:p w14:paraId="174ED9EC" w14:textId="77777777" w:rsidR="00904591" w:rsidRPr="00904591" w:rsidRDefault="00904591" w:rsidP="00904591">
      <w:pPr>
        <w:shd w:val="clear" w:color="auto" w:fill="FFFFFF"/>
        <w:spacing w:after="300" w:line="240" w:lineRule="auto"/>
        <w:rPr>
          <w:rFonts w:ascii="Arial" w:eastAsia="Times New Roman" w:hAnsi="Arial" w:cs="Arial"/>
          <w:color w:val="1F1F1F"/>
          <w:sz w:val="24"/>
          <w:szCs w:val="24"/>
        </w:rPr>
      </w:pPr>
      <w:r>
        <w:rPr>
          <w:rFonts w:ascii="Arial" w:hAnsi="Arial"/>
          <w:color w:val="1F1F1F"/>
          <w:sz w:val="24"/>
        </w:rPr>
        <w:t>Um cocontratante poderá deixar um contrato sem terminar o contrato na sua totalidade.</w:t>
      </w:r>
    </w:p>
    <w:p w14:paraId="470AE6F6" w14:textId="77777777" w:rsidR="00904591" w:rsidRPr="00904591" w:rsidRDefault="00904591" w:rsidP="00904591">
      <w:pPr>
        <w:shd w:val="clear" w:color="auto" w:fill="FFFFFF"/>
        <w:spacing w:line="240" w:lineRule="auto"/>
        <w:rPr>
          <w:rFonts w:ascii="Arial" w:eastAsia="Times New Roman" w:hAnsi="Arial" w:cs="Arial"/>
          <w:color w:val="1F1F1F"/>
          <w:sz w:val="24"/>
          <w:szCs w:val="24"/>
        </w:rPr>
      </w:pPr>
      <w:r>
        <w:rPr>
          <w:rFonts w:ascii="Arial" w:hAnsi="Arial"/>
          <w:color w:val="1F1F1F"/>
          <w:sz w:val="24"/>
        </w:rPr>
        <w:t>Podem ser adicionados novos titulares de contratos conjuntos sem ter de terminar o contrato atual e iniciar outro contrato.</w:t>
      </w:r>
    </w:p>
    <w:p w14:paraId="084B3600" w14:textId="77777777" w:rsidR="00904591" w:rsidRPr="00904591" w:rsidRDefault="00904591" w:rsidP="00904591">
      <w:pPr>
        <w:shd w:val="clear" w:color="auto" w:fill="FFFFFF"/>
        <w:spacing w:line="240" w:lineRule="auto"/>
        <w:outlineLvl w:val="1"/>
        <w:rPr>
          <w:rFonts w:ascii="Arial" w:eastAsia="Times New Roman" w:hAnsi="Arial" w:cs="Arial"/>
          <w:b/>
          <w:bCs/>
          <w:color w:val="1F1F1F"/>
          <w:sz w:val="36"/>
          <w:szCs w:val="36"/>
        </w:rPr>
      </w:pPr>
      <w:r>
        <w:rPr>
          <w:rFonts w:ascii="Arial" w:hAnsi="Arial"/>
          <w:b/>
          <w:color w:val="1F1F1F"/>
          <w:sz w:val="36"/>
        </w:rPr>
        <w:t>Direitos de sucessão melhorados</w:t>
      </w:r>
    </w:p>
    <w:p w14:paraId="48634E2E" w14:textId="77777777" w:rsidR="00904591" w:rsidRPr="00904591" w:rsidRDefault="00904591" w:rsidP="00904591">
      <w:pPr>
        <w:shd w:val="clear" w:color="auto" w:fill="FFFFFF"/>
        <w:spacing w:line="240" w:lineRule="auto"/>
        <w:rPr>
          <w:rFonts w:ascii="Arial" w:eastAsia="Times New Roman" w:hAnsi="Arial" w:cs="Arial"/>
          <w:color w:val="1F1F1F"/>
          <w:sz w:val="24"/>
          <w:szCs w:val="24"/>
        </w:rPr>
      </w:pPr>
      <w:r>
        <w:rPr>
          <w:rFonts w:ascii="Arial" w:hAnsi="Arial"/>
          <w:color w:val="1F1F1F"/>
          <w:sz w:val="24"/>
        </w:rPr>
        <w:t>Permite que tanto um sucessor "prioritário" como um sucessor "de reserva" tenha sucesso no contrato de ocupação. Isto permite duas sucessões ao contrato, por exemplo, um cônjuge seguido por outro membro da família. Além disso, é criado um novo direito de sucessão para os prestadores de cuidados.</w:t>
      </w:r>
    </w:p>
    <w:p w14:paraId="24BB0CAF" w14:textId="77777777" w:rsidR="00904591" w:rsidRPr="00904591" w:rsidRDefault="00904591" w:rsidP="00904591">
      <w:pPr>
        <w:shd w:val="clear" w:color="auto" w:fill="FFFFFF"/>
        <w:spacing w:line="240" w:lineRule="auto"/>
        <w:outlineLvl w:val="1"/>
        <w:rPr>
          <w:rFonts w:ascii="Arial" w:eastAsia="Times New Roman" w:hAnsi="Arial" w:cs="Arial"/>
          <w:b/>
          <w:bCs/>
          <w:color w:val="1F1F1F"/>
          <w:sz w:val="36"/>
          <w:szCs w:val="36"/>
        </w:rPr>
      </w:pPr>
      <w:r>
        <w:rPr>
          <w:rFonts w:ascii="Arial" w:hAnsi="Arial"/>
          <w:b/>
          <w:color w:val="1F1F1F"/>
          <w:sz w:val="36"/>
        </w:rPr>
        <w:t>Abandono</w:t>
      </w:r>
    </w:p>
    <w:p w14:paraId="36E26479" w14:textId="77777777" w:rsidR="00904591" w:rsidRPr="00904591" w:rsidRDefault="00904591" w:rsidP="00904591">
      <w:pPr>
        <w:shd w:val="clear" w:color="auto" w:fill="FFFFFF"/>
        <w:spacing w:line="240" w:lineRule="auto"/>
        <w:rPr>
          <w:rFonts w:ascii="Arial" w:eastAsia="Times New Roman" w:hAnsi="Arial" w:cs="Arial"/>
          <w:color w:val="1F1F1F"/>
          <w:sz w:val="24"/>
          <w:szCs w:val="24"/>
        </w:rPr>
      </w:pPr>
      <w:r>
        <w:rPr>
          <w:rFonts w:ascii="Arial" w:hAnsi="Arial"/>
          <w:color w:val="1F1F1F"/>
          <w:sz w:val="24"/>
        </w:rPr>
        <w:t>É possível recuperar uma propriedade abandonada sem necessidade de uma ordem judicial, depois de cumprir um aviso de advertência de quatro semanas e de realizar investigações para se certificar de que a propriedade está abandonada.</w:t>
      </w:r>
    </w:p>
    <w:p w14:paraId="26355A10" w14:textId="77777777" w:rsidR="00904591" w:rsidRPr="00904591" w:rsidRDefault="00904591" w:rsidP="00904591">
      <w:pPr>
        <w:shd w:val="clear" w:color="auto" w:fill="FFFFFF"/>
        <w:spacing w:line="240" w:lineRule="auto"/>
        <w:outlineLvl w:val="1"/>
        <w:rPr>
          <w:rFonts w:ascii="Arial" w:eastAsia="Times New Roman" w:hAnsi="Arial" w:cs="Arial"/>
          <w:b/>
          <w:bCs/>
          <w:color w:val="1F1F1F"/>
          <w:sz w:val="36"/>
          <w:szCs w:val="36"/>
        </w:rPr>
      </w:pPr>
      <w:r>
        <w:rPr>
          <w:rFonts w:ascii="Arial" w:hAnsi="Arial"/>
          <w:b/>
          <w:color w:val="1F1F1F"/>
          <w:sz w:val="36"/>
        </w:rPr>
        <w:t>Alojamento adaptado (apenas senhorios da comunidade e instituições de caridade)</w:t>
      </w:r>
    </w:p>
    <w:p w14:paraId="67CCE510" w14:textId="77777777" w:rsidR="00904591" w:rsidRPr="00904591" w:rsidRDefault="00904591" w:rsidP="00904591">
      <w:pPr>
        <w:shd w:val="clear" w:color="auto" w:fill="FFFFFF"/>
        <w:spacing w:after="300" w:line="240" w:lineRule="auto"/>
        <w:rPr>
          <w:rFonts w:ascii="Arial" w:eastAsia="Times New Roman" w:hAnsi="Arial" w:cs="Arial"/>
          <w:color w:val="1F1F1F"/>
          <w:sz w:val="24"/>
          <w:szCs w:val="24"/>
        </w:rPr>
      </w:pPr>
      <w:r>
        <w:rPr>
          <w:rFonts w:ascii="Arial" w:hAnsi="Arial"/>
          <w:color w:val="1F1F1F"/>
          <w:sz w:val="24"/>
        </w:rPr>
        <w:t>Se fornecer alojamento adaptado (por vezes referido como "vida apoiada"), não terá de emitir um contrato de ocupação durante os primeiros seis meses de ocupação</w:t>
      </w:r>
    </w:p>
    <w:p w14:paraId="3A7C7B11" w14:textId="77777777" w:rsidR="00904591" w:rsidRPr="00904591" w:rsidRDefault="00904591" w:rsidP="00904591">
      <w:pPr>
        <w:shd w:val="clear" w:color="auto" w:fill="FFFFFF"/>
        <w:spacing w:after="300" w:line="240" w:lineRule="auto"/>
        <w:rPr>
          <w:rFonts w:ascii="Arial" w:eastAsia="Times New Roman" w:hAnsi="Arial" w:cs="Arial"/>
          <w:color w:val="1F1F1F"/>
          <w:sz w:val="24"/>
          <w:szCs w:val="24"/>
        </w:rPr>
      </w:pPr>
      <w:r>
        <w:rPr>
          <w:rFonts w:ascii="Arial" w:hAnsi="Arial"/>
          <w:color w:val="1F1F1F"/>
          <w:sz w:val="24"/>
        </w:rPr>
        <w:t>Para serem classificados como alojamento adaptado, devem ser prestados serviços de apoio sob a forma de aconselhamento, formação, orientação ou aconselhamento. Os serviços de apoio incluem:</w:t>
      </w:r>
    </w:p>
    <w:p w14:paraId="548A165D" w14:textId="77777777" w:rsidR="00904591" w:rsidRPr="00904591" w:rsidRDefault="00904591" w:rsidP="00904591">
      <w:pPr>
        <w:numPr>
          <w:ilvl w:val="0"/>
          <w:numId w:val="4"/>
        </w:numPr>
        <w:shd w:val="clear" w:color="auto" w:fill="FFFFFF"/>
        <w:spacing w:before="100" w:beforeAutospacing="1" w:after="100" w:afterAutospacing="1" w:line="240" w:lineRule="auto"/>
        <w:rPr>
          <w:rFonts w:ascii="Arial" w:eastAsia="Times New Roman" w:hAnsi="Arial" w:cs="Arial"/>
          <w:color w:val="1F1F1F"/>
          <w:sz w:val="24"/>
          <w:szCs w:val="24"/>
        </w:rPr>
      </w:pPr>
      <w:r>
        <w:rPr>
          <w:rFonts w:ascii="Arial" w:hAnsi="Arial"/>
          <w:color w:val="1F1F1F"/>
          <w:sz w:val="24"/>
        </w:rPr>
        <w:t>Apoio no controlo ou superação do vício</w:t>
      </w:r>
    </w:p>
    <w:p w14:paraId="5088C9CC" w14:textId="77777777" w:rsidR="00904591" w:rsidRPr="00904591" w:rsidRDefault="00904591" w:rsidP="00904591">
      <w:pPr>
        <w:numPr>
          <w:ilvl w:val="0"/>
          <w:numId w:val="4"/>
        </w:numPr>
        <w:shd w:val="clear" w:color="auto" w:fill="FFFFFF"/>
        <w:spacing w:before="100" w:beforeAutospacing="1" w:after="100" w:afterAutospacing="1" w:line="240" w:lineRule="auto"/>
        <w:rPr>
          <w:rFonts w:ascii="Arial" w:eastAsia="Times New Roman" w:hAnsi="Arial" w:cs="Arial"/>
          <w:color w:val="1F1F1F"/>
          <w:sz w:val="24"/>
          <w:szCs w:val="24"/>
        </w:rPr>
      </w:pPr>
      <w:r>
        <w:rPr>
          <w:rFonts w:ascii="Arial" w:hAnsi="Arial"/>
          <w:color w:val="1F1F1F"/>
          <w:sz w:val="24"/>
        </w:rPr>
        <w:t>Apoio na procura de emprego ou alojamento alternativo</w:t>
      </w:r>
    </w:p>
    <w:p w14:paraId="2AB2730C" w14:textId="77777777" w:rsidR="00904591" w:rsidRPr="00904591" w:rsidRDefault="00904591" w:rsidP="00904591">
      <w:pPr>
        <w:numPr>
          <w:ilvl w:val="0"/>
          <w:numId w:val="4"/>
        </w:numPr>
        <w:shd w:val="clear" w:color="auto" w:fill="FFFFFF"/>
        <w:spacing w:before="100" w:beforeAutospacing="1" w:after="100" w:afterAutospacing="1" w:line="240" w:lineRule="auto"/>
        <w:rPr>
          <w:rFonts w:ascii="Arial" w:eastAsia="Times New Roman" w:hAnsi="Arial" w:cs="Arial"/>
          <w:color w:val="1F1F1F"/>
          <w:sz w:val="24"/>
          <w:szCs w:val="24"/>
        </w:rPr>
      </w:pPr>
      <w:r>
        <w:rPr>
          <w:rFonts w:ascii="Arial" w:hAnsi="Arial"/>
          <w:color w:val="1F1F1F"/>
          <w:sz w:val="24"/>
        </w:rPr>
        <w:t>Apoiar alguém que tem dificuldade em viver de forma independente devido à idade, doença, deficiência ou qualquer outro motivo.</w:t>
      </w:r>
    </w:p>
    <w:p w14:paraId="1AF46855" w14:textId="77777777" w:rsidR="00904591" w:rsidRPr="00904591" w:rsidRDefault="00904591" w:rsidP="00904591">
      <w:pPr>
        <w:shd w:val="clear" w:color="auto" w:fill="FFFFFF"/>
        <w:spacing w:after="300" w:line="240" w:lineRule="auto"/>
        <w:rPr>
          <w:rFonts w:ascii="Arial" w:eastAsia="Times New Roman" w:hAnsi="Arial" w:cs="Arial"/>
          <w:color w:val="1F1F1F"/>
          <w:sz w:val="24"/>
          <w:szCs w:val="24"/>
        </w:rPr>
      </w:pPr>
      <w:r>
        <w:rPr>
          <w:rFonts w:ascii="Arial" w:hAnsi="Arial"/>
          <w:color w:val="1F1F1F"/>
          <w:sz w:val="24"/>
        </w:rPr>
        <w:t>Após seis meses, a(s) pessoa(s) passará(ão) a ter direito a um "contrato padrão adaptado". O contrato padrão adaptado funcionará de forma semelhante ao contrato padrão. No entanto, pode incluir termos no contrato relacionados com o mesmo:</w:t>
      </w:r>
    </w:p>
    <w:p w14:paraId="2D53379B" w14:textId="77777777" w:rsidR="00904591" w:rsidRPr="00904591" w:rsidRDefault="00904591" w:rsidP="00904591">
      <w:pPr>
        <w:numPr>
          <w:ilvl w:val="0"/>
          <w:numId w:val="5"/>
        </w:numPr>
        <w:shd w:val="clear" w:color="auto" w:fill="FFFFFF"/>
        <w:spacing w:before="100" w:beforeAutospacing="1" w:after="100" w:afterAutospacing="1" w:line="240" w:lineRule="auto"/>
        <w:rPr>
          <w:rFonts w:ascii="Arial" w:eastAsia="Times New Roman" w:hAnsi="Arial" w:cs="Arial"/>
          <w:color w:val="1F1F1F"/>
          <w:sz w:val="24"/>
          <w:szCs w:val="24"/>
        </w:rPr>
      </w:pPr>
      <w:r>
        <w:rPr>
          <w:rFonts w:ascii="Arial" w:hAnsi="Arial"/>
          <w:color w:val="1F1F1F"/>
          <w:sz w:val="24"/>
        </w:rPr>
        <w:t xml:space="preserve">a capacidade de realojar o titular do contrato dentro do edifício; e </w:t>
      </w:r>
    </w:p>
    <w:p w14:paraId="6C890E05" w14:textId="77777777" w:rsidR="00904591" w:rsidRPr="00904591" w:rsidRDefault="00904591" w:rsidP="00904591">
      <w:pPr>
        <w:numPr>
          <w:ilvl w:val="0"/>
          <w:numId w:val="5"/>
        </w:numPr>
        <w:shd w:val="clear" w:color="auto" w:fill="FFFFFF"/>
        <w:spacing w:before="100" w:beforeAutospacing="1" w:after="100" w:afterAutospacing="1" w:line="240" w:lineRule="auto"/>
        <w:rPr>
          <w:rFonts w:ascii="Arial" w:eastAsia="Times New Roman" w:hAnsi="Arial" w:cs="Arial"/>
          <w:color w:val="1F1F1F"/>
          <w:sz w:val="24"/>
          <w:szCs w:val="24"/>
        </w:rPr>
      </w:pPr>
      <w:r>
        <w:rPr>
          <w:rFonts w:ascii="Arial" w:hAnsi="Arial"/>
          <w:color w:val="1F1F1F"/>
          <w:sz w:val="24"/>
        </w:rPr>
        <w:t>a possibilidade de o senhorio excluir temporariamente o titular do contrato da habitação até 48 horas, um máximo de três vezes em seis meses.</w:t>
      </w:r>
    </w:p>
    <w:p w14:paraId="60EBD86A" w14:textId="77777777" w:rsidR="00904591" w:rsidRPr="00904591" w:rsidRDefault="00904591" w:rsidP="00904591">
      <w:pPr>
        <w:shd w:val="clear" w:color="auto" w:fill="FFFFFF"/>
        <w:spacing w:line="240" w:lineRule="auto"/>
        <w:rPr>
          <w:rFonts w:ascii="Arial" w:eastAsia="Times New Roman" w:hAnsi="Arial" w:cs="Arial"/>
          <w:color w:val="1F1F1F"/>
          <w:sz w:val="24"/>
          <w:szCs w:val="24"/>
        </w:rPr>
      </w:pPr>
      <w:r>
        <w:rPr>
          <w:rFonts w:ascii="Arial" w:hAnsi="Arial"/>
          <w:color w:val="1F1F1F"/>
          <w:sz w:val="24"/>
        </w:rPr>
        <w:t>Para mais informações, queira consultar as </w:t>
      </w:r>
      <w:hyperlink r:id="rId8" w:history="1">
        <w:r>
          <w:rPr>
            <w:rFonts w:ascii="Arial" w:hAnsi="Arial"/>
            <w:b/>
            <w:color w:val="0360A6"/>
            <w:sz w:val="24"/>
            <w:u w:val="single"/>
          </w:rPr>
          <w:t>orientações sobre exclusão temporária</w:t>
        </w:r>
      </w:hyperlink>
      <w:r>
        <w:rPr>
          <w:rFonts w:ascii="Arial" w:hAnsi="Arial"/>
          <w:color w:val="1F1F1F"/>
          <w:sz w:val="24"/>
        </w:rPr>
        <w:t> .</w:t>
      </w:r>
    </w:p>
    <w:sectPr w:rsidR="00904591" w:rsidRPr="0090459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891A56"/>
    <w:multiLevelType w:val="multilevel"/>
    <w:tmpl w:val="20C21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AFC1845"/>
    <w:multiLevelType w:val="multilevel"/>
    <w:tmpl w:val="6B54D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71A1854"/>
    <w:multiLevelType w:val="multilevel"/>
    <w:tmpl w:val="09EA9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AF13C7E"/>
    <w:multiLevelType w:val="multilevel"/>
    <w:tmpl w:val="E8802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B1C28B1"/>
    <w:multiLevelType w:val="multilevel"/>
    <w:tmpl w:val="A7064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591"/>
    <w:rsid w:val="000F17EE"/>
    <w:rsid w:val="009045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044AF"/>
  <w15:chartTrackingRefBased/>
  <w15:docId w15:val="{D391C0B3-6E54-408D-9315-8A514EDCE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4332745">
      <w:bodyDiv w:val="1"/>
      <w:marLeft w:val="0"/>
      <w:marRight w:val="0"/>
      <w:marTop w:val="0"/>
      <w:marBottom w:val="0"/>
      <w:divBdr>
        <w:top w:val="none" w:sz="0" w:space="0" w:color="auto"/>
        <w:left w:val="none" w:sz="0" w:space="0" w:color="auto"/>
        <w:bottom w:val="none" w:sz="0" w:space="0" w:color="auto"/>
        <w:right w:val="none" w:sz="0" w:space="0" w:color="auto"/>
      </w:divBdr>
      <w:divsChild>
        <w:div w:id="1889412112">
          <w:marLeft w:val="0"/>
          <w:marRight w:val="0"/>
          <w:marTop w:val="0"/>
          <w:marBottom w:val="0"/>
          <w:divBdr>
            <w:top w:val="none" w:sz="0" w:space="0" w:color="auto"/>
            <w:left w:val="none" w:sz="0" w:space="0" w:color="auto"/>
            <w:bottom w:val="none" w:sz="0" w:space="0" w:color="auto"/>
            <w:right w:val="none" w:sz="0" w:space="0" w:color="auto"/>
          </w:divBdr>
          <w:divsChild>
            <w:div w:id="1521047337">
              <w:marLeft w:val="0"/>
              <w:marRight w:val="0"/>
              <w:marTop w:val="0"/>
              <w:marBottom w:val="600"/>
              <w:divBdr>
                <w:top w:val="none" w:sz="0" w:space="0" w:color="auto"/>
                <w:left w:val="none" w:sz="0" w:space="0" w:color="auto"/>
                <w:bottom w:val="none" w:sz="0" w:space="0" w:color="auto"/>
                <w:right w:val="none" w:sz="0" w:space="0" w:color="auto"/>
              </w:divBdr>
              <w:divsChild>
                <w:div w:id="30344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03305">
          <w:marLeft w:val="0"/>
          <w:marRight w:val="0"/>
          <w:marTop w:val="0"/>
          <w:marBottom w:val="0"/>
          <w:divBdr>
            <w:top w:val="none" w:sz="0" w:space="0" w:color="auto"/>
            <w:left w:val="none" w:sz="0" w:space="0" w:color="auto"/>
            <w:bottom w:val="none" w:sz="0" w:space="0" w:color="auto"/>
            <w:right w:val="none" w:sz="0" w:space="0" w:color="auto"/>
          </w:divBdr>
          <w:divsChild>
            <w:div w:id="1621765780">
              <w:marLeft w:val="0"/>
              <w:marRight w:val="0"/>
              <w:marTop w:val="0"/>
              <w:marBottom w:val="600"/>
              <w:divBdr>
                <w:top w:val="none" w:sz="0" w:space="0" w:color="auto"/>
                <w:left w:val="none" w:sz="0" w:space="0" w:color="auto"/>
                <w:bottom w:val="none" w:sz="0" w:space="0" w:color="auto"/>
                <w:right w:val="none" w:sz="0" w:space="0" w:color="auto"/>
              </w:divBdr>
              <w:divsChild>
                <w:div w:id="283584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321669">
          <w:marLeft w:val="0"/>
          <w:marRight w:val="0"/>
          <w:marTop w:val="0"/>
          <w:marBottom w:val="0"/>
          <w:divBdr>
            <w:top w:val="none" w:sz="0" w:space="0" w:color="auto"/>
            <w:left w:val="none" w:sz="0" w:space="0" w:color="auto"/>
            <w:bottom w:val="none" w:sz="0" w:space="0" w:color="auto"/>
            <w:right w:val="none" w:sz="0" w:space="0" w:color="auto"/>
          </w:divBdr>
          <w:divsChild>
            <w:div w:id="1460760540">
              <w:marLeft w:val="0"/>
              <w:marRight w:val="0"/>
              <w:marTop w:val="0"/>
              <w:marBottom w:val="600"/>
              <w:divBdr>
                <w:top w:val="none" w:sz="0" w:space="0" w:color="auto"/>
                <w:left w:val="none" w:sz="0" w:space="0" w:color="auto"/>
                <w:bottom w:val="none" w:sz="0" w:space="0" w:color="auto"/>
                <w:right w:val="none" w:sz="0" w:space="0" w:color="auto"/>
              </w:divBdr>
              <w:divsChild>
                <w:div w:id="1091698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53238">
          <w:marLeft w:val="0"/>
          <w:marRight w:val="0"/>
          <w:marTop w:val="0"/>
          <w:marBottom w:val="0"/>
          <w:divBdr>
            <w:top w:val="none" w:sz="0" w:space="0" w:color="auto"/>
            <w:left w:val="none" w:sz="0" w:space="0" w:color="auto"/>
            <w:bottom w:val="none" w:sz="0" w:space="0" w:color="auto"/>
            <w:right w:val="none" w:sz="0" w:space="0" w:color="auto"/>
          </w:divBdr>
          <w:divsChild>
            <w:div w:id="784692252">
              <w:marLeft w:val="0"/>
              <w:marRight w:val="0"/>
              <w:marTop w:val="0"/>
              <w:marBottom w:val="600"/>
              <w:divBdr>
                <w:top w:val="none" w:sz="0" w:space="0" w:color="auto"/>
                <w:left w:val="none" w:sz="0" w:space="0" w:color="auto"/>
                <w:bottom w:val="none" w:sz="0" w:space="0" w:color="auto"/>
                <w:right w:val="none" w:sz="0" w:space="0" w:color="auto"/>
              </w:divBdr>
              <w:divsChild>
                <w:div w:id="183988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360258">
          <w:marLeft w:val="0"/>
          <w:marRight w:val="0"/>
          <w:marTop w:val="0"/>
          <w:marBottom w:val="0"/>
          <w:divBdr>
            <w:top w:val="none" w:sz="0" w:space="0" w:color="auto"/>
            <w:left w:val="none" w:sz="0" w:space="0" w:color="auto"/>
            <w:bottom w:val="none" w:sz="0" w:space="0" w:color="auto"/>
            <w:right w:val="none" w:sz="0" w:space="0" w:color="auto"/>
          </w:divBdr>
          <w:divsChild>
            <w:div w:id="1680622197">
              <w:marLeft w:val="0"/>
              <w:marRight w:val="0"/>
              <w:marTop w:val="0"/>
              <w:marBottom w:val="600"/>
              <w:divBdr>
                <w:top w:val="none" w:sz="0" w:space="0" w:color="auto"/>
                <w:left w:val="none" w:sz="0" w:space="0" w:color="auto"/>
                <w:bottom w:val="none" w:sz="0" w:space="0" w:color="auto"/>
                <w:right w:val="none" w:sz="0" w:space="0" w:color="auto"/>
              </w:divBdr>
              <w:divsChild>
                <w:div w:id="1088962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901029">
          <w:marLeft w:val="0"/>
          <w:marRight w:val="0"/>
          <w:marTop w:val="0"/>
          <w:marBottom w:val="0"/>
          <w:divBdr>
            <w:top w:val="none" w:sz="0" w:space="0" w:color="auto"/>
            <w:left w:val="none" w:sz="0" w:space="0" w:color="auto"/>
            <w:bottom w:val="none" w:sz="0" w:space="0" w:color="auto"/>
            <w:right w:val="none" w:sz="0" w:space="0" w:color="auto"/>
          </w:divBdr>
          <w:divsChild>
            <w:div w:id="545869308">
              <w:marLeft w:val="0"/>
              <w:marRight w:val="0"/>
              <w:marTop w:val="0"/>
              <w:marBottom w:val="600"/>
              <w:divBdr>
                <w:top w:val="none" w:sz="0" w:space="0" w:color="auto"/>
                <w:left w:val="none" w:sz="0" w:space="0" w:color="auto"/>
                <w:bottom w:val="none" w:sz="0" w:space="0" w:color="auto"/>
                <w:right w:val="none" w:sz="0" w:space="0" w:color="auto"/>
              </w:divBdr>
              <w:divsChild>
                <w:div w:id="2047413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397945">
          <w:marLeft w:val="0"/>
          <w:marRight w:val="0"/>
          <w:marTop w:val="0"/>
          <w:marBottom w:val="0"/>
          <w:divBdr>
            <w:top w:val="none" w:sz="0" w:space="0" w:color="auto"/>
            <w:left w:val="none" w:sz="0" w:space="0" w:color="auto"/>
            <w:bottom w:val="none" w:sz="0" w:space="0" w:color="auto"/>
            <w:right w:val="none" w:sz="0" w:space="0" w:color="auto"/>
          </w:divBdr>
          <w:divsChild>
            <w:div w:id="783966412">
              <w:marLeft w:val="0"/>
              <w:marRight w:val="0"/>
              <w:marTop w:val="0"/>
              <w:marBottom w:val="600"/>
              <w:divBdr>
                <w:top w:val="none" w:sz="0" w:space="0" w:color="auto"/>
                <w:left w:val="none" w:sz="0" w:space="0" w:color="auto"/>
                <w:bottom w:val="none" w:sz="0" w:space="0" w:color="auto"/>
                <w:right w:val="none" w:sz="0" w:space="0" w:color="auto"/>
              </w:divBdr>
              <w:divsChild>
                <w:div w:id="1607617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534419">
          <w:marLeft w:val="0"/>
          <w:marRight w:val="0"/>
          <w:marTop w:val="0"/>
          <w:marBottom w:val="0"/>
          <w:divBdr>
            <w:top w:val="none" w:sz="0" w:space="0" w:color="auto"/>
            <w:left w:val="none" w:sz="0" w:space="0" w:color="auto"/>
            <w:bottom w:val="none" w:sz="0" w:space="0" w:color="auto"/>
            <w:right w:val="none" w:sz="0" w:space="0" w:color="auto"/>
          </w:divBdr>
          <w:divsChild>
            <w:div w:id="1249388602">
              <w:marLeft w:val="0"/>
              <w:marRight w:val="0"/>
              <w:marTop w:val="0"/>
              <w:marBottom w:val="600"/>
              <w:divBdr>
                <w:top w:val="none" w:sz="0" w:space="0" w:color="auto"/>
                <w:left w:val="none" w:sz="0" w:space="0" w:color="auto"/>
                <w:bottom w:val="none" w:sz="0" w:space="0" w:color="auto"/>
                <w:right w:val="none" w:sz="0" w:space="0" w:color="auto"/>
              </w:divBdr>
              <w:divsChild>
                <w:div w:id="208236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141015">
          <w:marLeft w:val="0"/>
          <w:marRight w:val="0"/>
          <w:marTop w:val="0"/>
          <w:marBottom w:val="0"/>
          <w:divBdr>
            <w:top w:val="none" w:sz="0" w:space="0" w:color="auto"/>
            <w:left w:val="none" w:sz="0" w:space="0" w:color="auto"/>
            <w:bottom w:val="none" w:sz="0" w:space="0" w:color="auto"/>
            <w:right w:val="none" w:sz="0" w:space="0" w:color="auto"/>
          </w:divBdr>
          <w:divsChild>
            <w:div w:id="1286741092">
              <w:marLeft w:val="0"/>
              <w:marRight w:val="0"/>
              <w:marTop w:val="0"/>
              <w:marBottom w:val="600"/>
              <w:divBdr>
                <w:top w:val="none" w:sz="0" w:space="0" w:color="auto"/>
                <w:left w:val="none" w:sz="0" w:space="0" w:color="auto"/>
                <w:bottom w:val="none" w:sz="0" w:space="0" w:color="auto"/>
                <w:right w:val="none" w:sz="0" w:space="0" w:color="auto"/>
              </w:divBdr>
              <w:divsChild>
                <w:div w:id="1861118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223236">
          <w:marLeft w:val="0"/>
          <w:marRight w:val="0"/>
          <w:marTop w:val="0"/>
          <w:marBottom w:val="0"/>
          <w:divBdr>
            <w:top w:val="none" w:sz="0" w:space="0" w:color="auto"/>
            <w:left w:val="none" w:sz="0" w:space="0" w:color="auto"/>
            <w:bottom w:val="none" w:sz="0" w:space="0" w:color="auto"/>
            <w:right w:val="none" w:sz="0" w:space="0" w:color="auto"/>
          </w:divBdr>
          <w:divsChild>
            <w:div w:id="1500609690">
              <w:marLeft w:val="0"/>
              <w:marRight w:val="0"/>
              <w:marTop w:val="0"/>
              <w:marBottom w:val="600"/>
              <w:divBdr>
                <w:top w:val="none" w:sz="0" w:space="0" w:color="auto"/>
                <w:left w:val="none" w:sz="0" w:space="0" w:color="auto"/>
                <w:bottom w:val="none" w:sz="0" w:space="0" w:color="auto"/>
                <w:right w:val="none" w:sz="0" w:space="0" w:color="auto"/>
              </w:divBdr>
              <w:divsChild>
                <w:div w:id="957758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578442">
          <w:marLeft w:val="0"/>
          <w:marRight w:val="0"/>
          <w:marTop w:val="0"/>
          <w:marBottom w:val="0"/>
          <w:divBdr>
            <w:top w:val="none" w:sz="0" w:space="0" w:color="auto"/>
            <w:left w:val="none" w:sz="0" w:space="0" w:color="auto"/>
            <w:bottom w:val="none" w:sz="0" w:space="0" w:color="auto"/>
            <w:right w:val="none" w:sz="0" w:space="0" w:color="auto"/>
          </w:divBdr>
          <w:divsChild>
            <w:div w:id="2108839562">
              <w:marLeft w:val="0"/>
              <w:marRight w:val="0"/>
              <w:marTop w:val="0"/>
              <w:marBottom w:val="600"/>
              <w:divBdr>
                <w:top w:val="none" w:sz="0" w:space="0" w:color="auto"/>
                <w:left w:val="none" w:sz="0" w:space="0" w:color="auto"/>
                <w:bottom w:val="none" w:sz="0" w:space="0" w:color="auto"/>
                <w:right w:val="none" w:sz="0" w:space="0" w:color="auto"/>
              </w:divBdr>
              <w:divsChild>
                <w:div w:id="267008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529664">
          <w:marLeft w:val="0"/>
          <w:marRight w:val="0"/>
          <w:marTop w:val="0"/>
          <w:marBottom w:val="0"/>
          <w:divBdr>
            <w:top w:val="none" w:sz="0" w:space="0" w:color="auto"/>
            <w:left w:val="none" w:sz="0" w:space="0" w:color="auto"/>
            <w:bottom w:val="none" w:sz="0" w:space="0" w:color="auto"/>
            <w:right w:val="none" w:sz="0" w:space="0" w:color="auto"/>
          </w:divBdr>
          <w:divsChild>
            <w:div w:id="559092816">
              <w:marLeft w:val="0"/>
              <w:marRight w:val="0"/>
              <w:marTop w:val="0"/>
              <w:marBottom w:val="600"/>
              <w:divBdr>
                <w:top w:val="none" w:sz="0" w:space="0" w:color="auto"/>
                <w:left w:val="none" w:sz="0" w:space="0" w:color="auto"/>
                <w:bottom w:val="none" w:sz="0" w:space="0" w:color="auto"/>
                <w:right w:val="none" w:sz="0" w:space="0" w:color="auto"/>
              </w:divBdr>
              <w:divsChild>
                <w:div w:id="1145271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410764">
          <w:marLeft w:val="0"/>
          <w:marRight w:val="0"/>
          <w:marTop w:val="0"/>
          <w:marBottom w:val="0"/>
          <w:divBdr>
            <w:top w:val="none" w:sz="0" w:space="0" w:color="auto"/>
            <w:left w:val="none" w:sz="0" w:space="0" w:color="auto"/>
            <w:bottom w:val="none" w:sz="0" w:space="0" w:color="auto"/>
            <w:right w:val="none" w:sz="0" w:space="0" w:color="auto"/>
          </w:divBdr>
          <w:divsChild>
            <w:div w:id="2046254468">
              <w:marLeft w:val="0"/>
              <w:marRight w:val="0"/>
              <w:marTop w:val="0"/>
              <w:marBottom w:val="600"/>
              <w:divBdr>
                <w:top w:val="none" w:sz="0" w:space="0" w:color="auto"/>
                <w:left w:val="none" w:sz="0" w:space="0" w:color="auto"/>
                <w:bottom w:val="none" w:sz="0" w:space="0" w:color="auto"/>
                <w:right w:val="none" w:sz="0" w:space="0" w:color="auto"/>
              </w:divBdr>
              <w:divsChild>
                <w:div w:id="984433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085637">
          <w:marLeft w:val="0"/>
          <w:marRight w:val="0"/>
          <w:marTop w:val="0"/>
          <w:marBottom w:val="0"/>
          <w:divBdr>
            <w:top w:val="none" w:sz="0" w:space="0" w:color="auto"/>
            <w:left w:val="none" w:sz="0" w:space="0" w:color="auto"/>
            <w:bottom w:val="none" w:sz="0" w:space="0" w:color="auto"/>
            <w:right w:val="none" w:sz="0" w:space="0" w:color="auto"/>
          </w:divBdr>
          <w:divsChild>
            <w:div w:id="247540702">
              <w:marLeft w:val="0"/>
              <w:marRight w:val="0"/>
              <w:marTop w:val="0"/>
              <w:marBottom w:val="600"/>
              <w:divBdr>
                <w:top w:val="none" w:sz="0" w:space="0" w:color="auto"/>
                <w:left w:val="none" w:sz="0" w:space="0" w:color="auto"/>
                <w:bottom w:val="none" w:sz="0" w:space="0" w:color="auto"/>
                <w:right w:val="none" w:sz="0" w:space="0" w:color="auto"/>
              </w:divBdr>
              <w:divsChild>
                <w:div w:id="1210611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ov.wales/supported-accommodation-temporary-exclusion-guidance" TargetMode="External"/><Relationship Id="rId3" Type="http://schemas.openxmlformats.org/officeDocument/2006/relationships/settings" Target="settings.xml"/><Relationship Id="rId7" Type="http://schemas.openxmlformats.org/officeDocument/2006/relationships/hyperlink" Target="https://gov.wales/fitness-homes-human-habitation-guidance-landlords-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ov.wales/creating-converted-occupation-contract-guidance-landlords" TargetMode="External"/><Relationship Id="rId5" Type="http://schemas.openxmlformats.org/officeDocument/2006/relationships/hyperlink" Target="https://gov.wales/renting-homes-housing-law-changing"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1060</Words>
  <Characters>6047</Characters>
  <Application>Microsoft Office Word</Application>
  <DocSecurity>0</DocSecurity>
  <Lines>50</Lines>
  <Paragraphs>14</Paragraphs>
  <ScaleCrop>false</ScaleCrop>
  <Company/>
  <LinksUpToDate>false</LinksUpToDate>
  <CharactersWithSpaces>7093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Maloney</dc:creator>
  <cp:keywords/>
  <dc:description/>
  <cp:lastModifiedBy>Carlos Torres</cp:lastModifiedBy>
  <cp:revision>2</cp:revision>
  <dcterms:created xsi:type="dcterms:W3CDTF">2022-03-23T15:58:00Z</dcterms:created>
  <dcterms:modified xsi:type="dcterms:W3CDTF">2022-03-31T02:49:00Z</dcterms:modified>
</cp:coreProperties>
</file>